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淮南市财政局2020年政府信息公开工作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left"/>
        <w:rPr>
          <w:rFonts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left"/>
        <w:rPr>
          <w:rFonts w:hint="eastAsia" w:ascii="宋体" w:hAnsi="宋体" w:eastAsia="宋体" w:cs="宋体"/>
          <w:i w:val="0"/>
          <w:iCs w:val="0"/>
          <w:caps w:val="0"/>
          <w:color w:val="333333"/>
          <w:spacing w:val="0"/>
          <w:sz w:val="24"/>
          <w:szCs w:val="24"/>
        </w:rPr>
      </w:pPr>
      <w:r>
        <w:rPr>
          <w:rFonts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本年度报告根据《中华人民共和国政府信息公开条例》（以下简称《条例》）和《</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淮南市人民政府办公室关于做好政府信息公开工作年度报告编制及统计数据报送工作的通知》要求，结合我单位政府信息公开工作有关统计数据撰写。全文包括总体情况、主动公开政府信息情况、收到和处理政府信息公开申请情况、政府信息公开行政复议、行政诉讼情况、政府信息公开工作存在的主要问题及改进情况和其他需要报告的事项，并附相关指标统计附表等。本年度报告的电子版可在淮南市财政局门户网站（http://cz.huainan.gov.cn/）“通知公告”栏下载。如对本报告有任何疑问，请与淮南市财政局办公室联系（地址：淮南市山南新区政务中心国库支付中心大楼723室，电话：0554-6667811，邮编：232001）。</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一、总体情况</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br w:type="textWrapping"/>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2020年，市财政局认真贯彻落实新修订的《中华人民共和国政府信息公开条例》及有关文件精神，按照上级部署，紧紧围绕中心大局，结合财政工作实际认真做好信息主动公开、依申请公开、政府信息管理、平台建设、监督保障等方面工作，充分运用门户网站、政府信息公开网、新闻媒体、报刊年鉴等渠道，及时主动向社会公开财政信息，依法依规答复信息公开申请，进一步提升财政工作透明度，切实满足社会公众获取和利用政府信息的需求。</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r>
        <w:rPr>
          <w:rFonts w:ascii="楷体" w:hAnsi="楷体" w:eastAsia="楷体" w:cs="楷体"/>
          <w:i w:val="0"/>
          <w:iCs w:val="0"/>
          <w:caps w:val="0"/>
          <w:color w:val="333333"/>
          <w:spacing w:val="0"/>
          <w:kern w:val="0"/>
          <w:sz w:val="32"/>
          <w:szCs w:val="32"/>
          <w:bdr w:val="none" w:color="auto" w:sz="0" w:space="0"/>
          <w:shd w:val="clear" w:fill="FFFFFF"/>
          <w:lang w:val="en-US" w:eastAsia="zh-CN" w:bidi="ar"/>
        </w:rPr>
        <w:t>（一）主动公开</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br w:type="textWrapping"/>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 xml:space="preserve">     </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2020年，聚焦市财政局中心工作，市财政局通过门户网站、政府信息公开网、新闻媒体报刊年鉴等渠道主动公开信息827条。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一是结合机构改革工作，及时更新机构职能、领导分工和办公地址、时间等部门基本信息。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二是深化重点领域信息公开，推动重要政策落地见效。加大财政专项扶贫资金、精准扶贫相关财政资金等信息公开力度。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三是加强持续优化营商环境方面信息公开。围绕“放管服”改革新任务新举措，局门户网站增设“减税降费”专题专栏，办公场所放置“减税降费”相关宣传手册等，加强减税降费方面信息公开。</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四是加强重要政策措施解读。切实履行政策解读工作的主体责任，将政策文件与解读方案、解读材料同步起草、同步审签、同步部署。</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xml:space="preserve">  </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（二）依申请公开</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br w:type="textWrapping"/>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 xml:space="preserve">      </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2020年，共收到依申请公开申请7件，内容涉及财政一般公共预算支出决算、预算绩效管理、农业保险财政补贴等信息，已全部按规定办结。</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xml:space="preserve">  </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（三）政府信息管理</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br w:type="textWrapping"/>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 xml:space="preserve">    </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建立健全信息收集、审查、发布机制，严格落实意识形态工作责任制及保密审查制度，经审查依法应当公开的事项，及时准确向社会公开，确保政府信息规范管理。</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xml:space="preserve">  </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（四）政府信息平台建设</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br w:type="textWrapping"/>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   </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市财政局坚持把网站列为公开信息的重要途径，局门户网站开设了机构设置、财政新闻、政策解读、政府采购、等栏目,并在网站明显位置设置工作动态、财政预决算、三公经费、减税降费、咨询投诉等内容；方便群众查询信息和监督反馈。</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br w:type="textWrapping"/>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（五）监督保障</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br w:type="textWrapping"/>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     </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强化组织领导，局主要负责同志认真履行信息公开工作第一责任人的职责，亲自抓，负总责，研究部署推进工作；局分管领导按照工作分工，对职责范围内的信息公开工作负直接领导责任；各科室、单位负责人按照局的统一部署，认真抓好本科室、单位信息公开制度的组织实施，使政务信息公开工作进一步规范化、制度化，确保工作持续良好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4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二、主动公开政府信息情况</w:t>
      </w:r>
    </w:p>
    <w:tbl>
      <w:tblPr>
        <w:tblW w:w="9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23"/>
        <w:gridCol w:w="2369"/>
        <w:gridCol w:w="1533"/>
        <w:gridCol w:w="1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931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82"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信息内容</w:t>
            </w:r>
          </w:p>
        </w:tc>
        <w:tc>
          <w:tcPr>
            <w:tcW w:w="23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本年新</w:t>
            </w:r>
            <w:r>
              <w:rPr>
                <w:rFonts w:hint="eastAsia" w:ascii="宋体" w:hAnsi="宋体" w:eastAsia="宋体" w:cs="宋体"/>
                <w:i w:val="0"/>
                <w:iCs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333333"/>
                <w:spacing w:val="0"/>
                <w:kern w:val="0"/>
                <w:sz w:val="20"/>
                <w:szCs w:val="20"/>
                <w:bdr w:val="none" w:color="auto" w:sz="0" w:space="0"/>
                <w:lang w:val="en-US" w:eastAsia="zh-CN" w:bidi="ar"/>
              </w:rPr>
              <w:t>制作数量</w:t>
            </w:r>
          </w:p>
        </w:tc>
        <w:tc>
          <w:tcPr>
            <w:tcW w:w="15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本年新</w:t>
            </w:r>
            <w:r>
              <w:rPr>
                <w:rFonts w:hint="eastAsia" w:ascii="宋体" w:hAnsi="宋体" w:eastAsia="宋体" w:cs="宋体"/>
                <w:i w:val="0"/>
                <w:iCs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333333"/>
                <w:spacing w:val="0"/>
                <w:kern w:val="0"/>
                <w:sz w:val="20"/>
                <w:szCs w:val="20"/>
                <w:bdr w:val="none" w:color="auto" w:sz="0" w:space="0"/>
                <w:lang w:val="en-US" w:eastAsia="zh-CN" w:bidi="ar"/>
              </w:rPr>
              <w:t>公开数量</w:t>
            </w:r>
          </w:p>
        </w:tc>
        <w:tc>
          <w:tcPr>
            <w:tcW w:w="1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3"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规章</w:t>
            </w:r>
          </w:p>
        </w:tc>
        <w:tc>
          <w:tcPr>
            <w:tcW w:w="23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15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1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规范性文件</w:t>
            </w:r>
          </w:p>
        </w:tc>
        <w:tc>
          <w:tcPr>
            <w:tcW w:w="23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5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1</w:t>
            </w:r>
          </w:p>
        </w:tc>
        <w:tc>
          <w:tcPr>
            <w:tcW w:w="1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4"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信息内容</w:t>
            </w:r>
          </w:p>
        </w:tc>
        <w:tc>
          <w:tcPr>
            <w:tcW w:w="23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上一年项目数量</w:t>
            </w:r>
          </w:p>
        </w:tc>
        <w:tc>
          <w:tcPr>
            <w:tcW w:w="15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本年增/减</w:t>
            </w:r>
          </w:p>
        </w:tc>
        <w:tc>
          <w:tcPr>
            <w:tcW w:w="1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8"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行政许可</w:t>
            </w:r>
          </w:p>
        </w:tc>
        <w:tc>
          <w:tcPr>
            <w:tcW w:w="236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15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1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其他对外管理服务事项</w:t>
            </w:r>
          </w:p>
        </w:tc>
        <w:tc>
          <w:tcPr>
            <w:tcW w:w="236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15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1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6" w:hRule="atLeast"/>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4"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信息内容</w:t>
            </w:r>
          </w:p>
        </w:tc>
        <w:tc>
          <w:tcPr>
            <w:tcW w:w="23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上一年项目数量</w:t>
            </w:r>
          </w:p>
        </w:tc>
        <w:tc>
          <w:tcPr>
            <w:tcW w:w="15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本年增/减</w:t>
            </w:r>
          </w:p>
        </w:tc>
        <w:tc>
          <w:tcPr>
            <w:tcW w:w="1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0"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行政处罚</w:t>
            </w:r>
          </w:p>
        </w:tc>
        <w:tc>
          <w:tcPr>
            <w:tcW w:w="236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15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1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行政强制</w:t>
            </w:r>
          </w:p>
        </w:tc>
        <w:tc>
          <w:tcPr>
            <w:tcW w:w="236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15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16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信息内容</w:t>
            </w:r>
          </w:p>
        </w:tc>
        <w:tc>
          <w:tcPr>
            <w:tcW w:w="23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上一年项目数量</w:t>
            </w:r>
          </w:p>
        </w:tc>
        <w:tc>
          <w:tcPr>
            <w:tcW w:w="3218"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行政事业性收费</w:t>
            </w:r>
          </w:p>
        </w:tc>
        <w:tc>
          <w:tcPr>
            <w:tcW w:w="23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3218"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931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信息内容</w:t>
            </w:r>
          </w:p>
        </w:tc>
        <w:tc>
          <w:tcPr>
            <w:tcW w:w="23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采购项目数量</w:t>
            </w:r>
          </w:p>
        </w:tc>
        <w:tc>
          <w:tcPr>
            <w:tcW w:w="3218"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rPr>
        <w:tc>
          <w:tcPr>
            <w:tcW w:w="372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政府集中采购</w:t>
            </w:r>
          </w:p>
        </w:tc>
        <w:tc>
          <w:tcPr>
            <w:tcW w:w="23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18</w:t>
            </w:r>
          </w:p>
        </w:tc>
        <w:tc>
          <w:tcPr>
            <w:tcW w:w="3218"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179.264万元</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24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三、收到和处理政府信息公开申请情况</w:t>
      </w:r>
    </w:p>
    <w:tbl>
      <w:tblP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53"/>
        <w:gridCol w:w="855"/>
        <w:gridCol w:w="1919"/>
        <w:gridCol w:w="851"/>
        <w:gridCol w:w="709"/>
        <w:gridCol w:w="850"/>
        <w:gridCol w:w="851"/>
        <w:gridCol w:w="850"/>
        <w:gridCol w:w="709"/>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7" w:type="dxa"/>
            <w:gridSpan w:val="3"/>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（本列数据的勾稽关系为：第一项加第二项之和，等于第三项加第四项之和）</w:t>
            </w:r>
          </w:p>
        </w:tc>
        <w:tc>
          <w:tcPr>
            <w:tcW w:w="5529"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7"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851"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自然人</w:t>
            </w:r>
          </w:p>
        </w:tc>
        <w:tc>
          <w:tcPr>
            <w:tcW w:w="3969"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法人或其他组织</w:t>
            </w:r>
          </w:p>
        </w:tc>
        <w:tc>
          <w:tcPr>
            <w:tcW w:w="70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7"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851"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商业企业</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科研机构</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社会公益组织</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法律服务机构</w:t>
            </w:r>
          </w:p>
        </w:tc>
        <w:tc>
          <w:tcPr>
            <w:tcW w:w="7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其他</w:t>
            </w:r>
          </w:p>
        </w:tc>
        <w:tc>
          <w:tcPr>
            <w:tcW w:w="70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宋体" w:hAnsi="宋体" w:eastAsia="宋体" w:cs="宋体"/>
                <w:i w:val="0"/>
                <w:iCs w:val="0"/>
                <w:caps w:val="0"/>
                <w:color w:val="333333"/>
                <w:spacing w:val="0"/>
                <w:kern w:val="0"/>
                <w:sz w:val="20"/>
                <w:szCs w:val="20"/>
                <w:bdr w:val="none" w:color="auto" w:sz="0" w:space="0"/>
                <w:lang w:val="en-US" w:eastAsia="zh-CN" w:bidi="ar"/>
              </w:rPr>
              <w:t>一、本年新收政府信息公开申请数量</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7</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7</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宋体" w:hAnsi="宋体" w:eastAsia="宋体" w:cs="宋体"/>
                <w:i w:val="0"/>
                <w:iCs w:val="0"/>
                <w:caps w:val="0"/>
                <w:color w:val="333333"/>
                <w:spacing w:val="0"/>
                <w:kern w:val="0"/>
                <w:sz w:val="20"/>
                <w:szCs w:val="20"/>
                <w:bdr w:val="none" w:color="auto" w:sz="0" w:space="0"/>
                <w:lang w:val="en-US" w:eastAsia="zh-CN" w:bidi="ar"/>
              </w:rPr>
              <w:t>二、上年结转政府信息公开申请数量</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restart"/>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三、本年度办理结果</w:t>
            </w:r>
          </w:p>
        </w:tc>
        <w:tc>
          <w:tcPr>
            <w:tcW w:w="2774"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（一）予以公开</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5</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5</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2774"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（二）部分公开（区分处理的，只计这一情形，不计其他情形）</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85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（三）不予公开</w:t>
            </w:r>
          </w:p>
        </w:tc>
        <w:tc>
          <w:tcPr>
            <w:tcW w:w="19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1.属于国家秘密</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8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19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2.其他法律行政法规禁止公开</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8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19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3.危及“三安全一稳定”</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8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19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4.保护第三方合法权益</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8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19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5.属于三类内部事务信息</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1</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8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19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6.属于四类过程性信息</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8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19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7.属于行政执法案卷</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8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19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8.属于行政查询事项</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85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（四）无法提供</w:t>
            </w:r>
          </w:p>
        </w:tc>
        <w:tc>
          <w:tcPr>
            <w:tcW w:w="19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1.本机关不掌握相关政府信息</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1</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8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19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2.没有现成信息需要另行制作</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8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19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3.补正后申请内容仍不明确</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855"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（五）不予处理</w:t>
            </w:r>
          </w:p>
        </w:tc>
        <w:tc>
          <w:tcPr>
            <w:tcW w:w="19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1.信访举报投诉类申请</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8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19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2.重复申请</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8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19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3.要求提供公开出版物</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8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19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4.无正当理由大量反复申请</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855"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19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5.要求行政机关确认或重新出具已获取信息</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2774"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（六）其他处理</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53" w:type="dxa"/>
            <w:vMerge w:val="continue"/>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jc w:val="both"/>
              <w:rPr>
                <w:rFonts w:hint="eastAsia" w:ascii="宋体" w:hAnsi="宋体" w:eastAsia="宋体" w:cs="宋体"/>
                <w:i w:val="0"/>
                <w:iCs w:val="0"/>
                <w:caps w:val="0"/>
                <w:color w:val="333333"/>
                <w:spacing w:val="0"/>
                <w:sz w:val="24"/>
                <w:szCs w:val="24"/>
              </w:rPr>
            </w:pPr>
          </w:p>
        </w:tc>
        <w:tc>
          <w:tcPr>
            <w:tcW w:w="2774"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楷体" w:hAnsi="楷体" w:eastAsia="楷体" w:cs="楷体"/>
                <w:i w:val="0"/>
                <w:iCs w:val="0"/>
                <w:caps w:val="0"/>
                <w:color w:val="333333"/>
                <w:spacing w:val="0"/>
                <w:kern w:val="0"/>
                <w:sz w:val="20"/>
                <w:szCs w:val="20"/>
                <w:bdr w:val="none" w:color="auto" w:sz="0" w:space="0"/>
                <w:lang w:val="en-US" w:eastAsia="zh-CN" w:bidi="ar"/>
              </w:rPr>
              <w:t>（七）总计</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7</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27" w:type="dxa"/>
            <w:gridSpan w:val="3"/>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宋体" w:hAnsi="宋体" w:eastAsia="宋体" w:cs="宋体"/>
                <w:i w:val="0"/>
                <w:iCs w:val="0"/>
                <w:caps w:val="0"/>
                <w:color w:val="333333"/>
                <w:spacing w:val="0"/>
                <w:kern w:val="0"/>
                <w:sz w:val="20"/>
                <w:szCs w:val="20"/>
                <w:bdr w:val="none" w:color="auto" w:sz="0" w:space="0"/>
                <w:lang w:val="en-US" w:eastAsia="zh-CN" w:bidi="ar"/>
              </w:rPr>
              <w:t>四、结转下年度继续办理</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firstLine="240"/>
              <w:jc w:val="left"/>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四、政府信息公开行政复议、行政诉讼情况</w:t>
      </w:r>
    </w:p>
    <w:tbl>
      <w:tblPr>
        <w:tblW w:w="92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7"/>
        <w:gridCol w:w="603"/>
        <w:gridCol w:w="603"/>
        <w:gridCol w:w="603"/>
        <w:gridCol w:w="656"/>
        <w:gridCol w:w="550"/>
        <w:gridCol w:w="604"/>
        <w:gridCol w:w="604"/>
        <w:gridCol w:w="604"/>
        <w:gridCol w:w="516"/>
        <w:gridCol w:w="708"/>
        <w:gridCol w:w="603"/>
        <w:gridCol w:w="530"/>
        <w:gridCol w:w="567"/>
        <w:gridCol w:w="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370"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行政复议</w:t>
            </w:r>
          </w:p>
        </w:tc>
        <w:tc>
          <w:tcPr>
            <w:tcW w:w="5844" w:type="dxa"/>
            <w:gridSpan w:val="10"/>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总计</w:t>
            </w:r>
          </w:p>
        </w:tc>
        <w:tc>
          <w:tcPr>
            <w:tcW w:w="2867"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未经复议直接起诉</w:t>
            </w:r>
          </w:p>
        </w:tc>
        <w:tc>
          <w:tcPr>
            <w:tcW w:w="2977"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604"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iCs w:val="0"/>
                <w:caps w:val="0"/>
                <w:color w:val="333333"/>
                <w:spacing w:val="0"/>
                <w:sz w:val="24"/>
                <w:szCs w:val="24"/>
              </w:rPr>
            </w:pPr>
          </w:p>
        </w:tc>
        <w:tc>
          <w:tcPr>
            <w:tcW w:w="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结果维持</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尚未审结</w:t>
            </w:r>
          </w:p>
        </w:tc>
        <w:tc>
          <w:tcPr>
            <w:tcW w:w="50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总计</w:t>
            </w:r>
          </w:p>
        </w:tc>
        <w:tc>
          <w:tcPr>
            <w:tcW w:w="7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结果维持</w:t>
            </w:r>
          </w:p>
        </w:tc>
        <w:tc>
          <w:tcPr>
            <w:tcW w:w="6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结果纠正</w:t>
            </w:r>
          </w:p>
        </w:tc>
        <w:tc>
          <w:tcPr>
            <w:tcW w:w="5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其他结果</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尚未审结</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w:t>
            </w:r>
            <w:r>
              <w:rPr>
                <w:rFonts w:hint="default" w:ascii="Calibri" w:hAnsi="Calibri" w:eastAsia="宋体" w:cs="Calibri"/>
                <w:i w:val="0"/>
                <w:iCs w:val="0"/>
                <w:caps w:val="0"/>
                <w:color w:val="333333"/>
                <w:spacing w:val="0"/>
                <w:kern w:val="0"/>
                <w:sz w:val="20"/>
                <w:szCs w:val="20"/>
                <w:bdr w:val="none" w:color="auto" w:sz="0" w:space="0"/>
                <w:lang w:val="en-US" w:eastAsia="zh-CN" w:bidi="ar"/>
              </w:rPr>
              <w:t> </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6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default" w:ascii="Calibri" w:hAnsi="Calibri" w:eastAsia="宋体" w:cs="Calibri"/>
                <w:i w:val="0"/>
                <w:iCs w:val="0"/>
                <w:caps w:val="0"/>
                <w:color w:val="333333"/>
                <w:spacing w:val="0"/>
                <w:kern w:val="0"/>
                <w:sz w:val="20"/>
                <w:szCs w:val="20"/>
                <w:bdr w:val="none" w:color="auto" w:sz="0" w:space="0"/>
                <w:lang w:val="en-US" w:eastAsia="zh-CN" w:bidi="ar"/>
              </w:rPr>
              <w:t> </w:t>
            </w:r>
            <w:r>
              <w:rPr>
                <w:rFonts w:hint="eastAsia" w:ascii="宋体" w:hAnsi="宋体" w:eastAsia="宋体" w:cs="宋体"/>
                <w:i w:val="0"/>
                <w:iCs w:val="0"/>
                <w:caps w:val="0"/>
                <w:color w:val="333333"/>
                <w:spacing w:val="0"/>
                <w:kern w:val="0"/>
                <w:sz w:val="20"/>
                <w:szCs w:val="20"/>
                <w:bdr w:val="none" w:color="auto" w:sz="0" w:space="0"/>
                <w:lang w:val="en-US" w:eastAsia="zh-CN" w:bidi="ar"/>
              </w:rPr>
              <w:t>0</w:t>
            </w:r>
          </w:p>
        </w:tc>
        <w:tc>
          <w:tcPr>
            <w:tcW w:w="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0 </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 0</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 0</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0 </w:t>
            </w:r>
          </w:p>
        </w:tc>
        <w:tc>
          <w:tcPr>
            <w:tcW w:w="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 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0 </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 0</w:t>
            </w:r>
          </w:p>
        </w:tc>
        <w:tc>
          <w:tcPr>
            <w:tcW w:w="5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 0</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center"/>
            </w:pPr>
            <w:r>
              <w:rPr>
                <w:rFonts w:hint="eastAsia" w:ascii="宋体" w:hAnsi="宋体" w:eastAsia="宋体" w:cs="宋体"/>
                <w:i w:val="0"/>
                <w:iCs w:val="0"/>
                <w:caps w:val="0"/>
                <w:color w:val="333333"/>
                <w:spacing w:val="0"/>
                <w:kern w:val="0"/>
                <w:sz w:val="20"/>
                <w:szCs w:val="20"/>
                <w:bdr w:val="none" w:color="auto" w:sz="0" w:space="0"/>
                <w:lang w:val="en-US" w:eastAsia="zh-CN" w:bidi="ar"/>
              </w:rPr>
              <w:t> 0</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578" w:lineRule="atLeast"/>
              <w:ind w:left="0" w:right="0"/>
              <w:jc w:val="left"/>
            </w:pPr>
            <w:r>
              <w:rPr>
                <w:rFonts w:hint="eastAsia" w:ascii="宋体" w:hAnsi="宋体" w:eastAsia="宋体" w:cs="宋体"/>
                <w:i w:val="0"/>
                <w:iCs w:val="0"/>
                <w:caps w:val="0"/>
                <w:color w:val="333333"/>
                <w:spacing w:val="0"/>
                <w:kern w:val="0"/>
                <w:sz w:val="24"/>
                <w:szCs w:val="24"/>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2"/>
          <w:szCs w:val="32"/>
          <w:bdr w:val="none" w:color="auto" w:sz="0" w:space="0"/>
          <w:shd w:val="clear" w:fill="FFFFFF"/>
        </w:rPr>
        <w:t>2020年，市财政局政府信息公开工作取得了一定成效，但仍存在信息公开质量有待提升，专题个性化内容较少；个别领域信息公开有待加强、信息公开的深度和广度需进一步扩展；信息公开工作的专业化水平需要进一步提高等问题。接下来，市财政局将认真贯彻落实中央及省市有关信息公开工作的规定要求，切实推动信息公开工作提质增效。</w:t>
      </w:r>
      <w:r>
        <w:rPr>
          <w:rFonts w:hint="eastAsia" w:ascii="仿宋_GB2312" w:hAnsi="宋体" w:eastAsia="仿宋_GB2312" w:cs="仿宋_GB2312"/>
          <w:b/>
          <w:bCs/>
          <w:i w:val="0"/>
          <w:iCs w:val="0"/>
          <w:caps w:val="0"/>
          <w:color w:val="333333"/>
          <w:spacing w:val="0"/>
          <w:sz w:val="32"/>
          <w:szCs w:val="32"/>
          <w:bdr w:val="none" w:color="auto" w:sz="0" w:space="0"/>
          <w:shd w:val="clear" w:fill="FFFFFF"/>
        </w:rPr>
        <w:t>一是</w:t>
      </w:r>
      <w:r>
        <w:rPr>
          <w:rFonts w:hint="eastAsia" w:ascii="仿宋_GB2312" w:hAnsi="宋体" w:eastAsia="仿宋_GB2312" w:cs="仿宋_GB2312"/>
          <w:i w:val="0"/>
          <w:iCs w:val="0"/>
          <w:caps w:val="0"/>
          <w:color w:val="333333"/>
          <w:spacing w:val="0"/>
          <w:sz w:val="32"/>
          <w:szCs w:val="32"/>
          <w:bdr w:val="none" w:color="auto" w:sz="0" w:space="0"/>
          <w:shd w:val="clear" w:fill="FFFFFF"/>
        </w:rPr>
        <w:t>加强内部业务培训，切实提高财政干部职工对做好政务信息公开工作重要性的认识，夯实工作基础。</w:t>
      </w:r>
      <w:r>
        <w:rPr>
          <w:rFonts w:hint="eastAsia" w:ascii="仿宋_GB2312" w:hAnsi="宋体" w:eastAsia="仿宋_GB2312" w:cs="仿宋_GB2312"/>
          <w:b/>
          <w:bCs/>
          <w:i w:val="0"/>
          <w:iCs w:val="0"/>
          <w:caps w:val="0"/>
          <w:color w:val="333333"/>
          <w:spacing w:val="0"/>
          <w:sz w:val="32"/>
          <w:szCs w:val="32"/>
          <w:bdr w:val="none" w:color="auto" w:sz="0" w:space="0"/>
          <w:shd w:val="clear" w:fill="FFFFFF"/>
        </w:rPr>
        <w:t>二是</w:t>
      </w:r>
      <w:r>
        <w:rPr>
          <w:rFonts w:hint="eastAsia" w:ascii="仿宋_GB2312" w:hAnsi="宋体" w:eastAsia="仿宋_GB2312" w:cs="仿宋_GB2312"/>
          <w:i w:val="0"/>
          <w:iCs w:val="0"/>
          <w:caps w:val="0"/>
          <w:color w:val="333333"/>
          <w:spacing w:val="0"/>
          <w:sz w:val="32"/>
          <w:szCs w:val="32"/>
          <w:bdr w:val="none" w:color="auto" w:sz="0" w:space="0"/>
          <w:shd w:val="clear" w:fill="FFFFFF"/>
        </w:rPr>
        <w:t>加强制度建设，坚持“以公开为常态，不公开为例外”原则，完善规范信息采集、审核、发布、更新等流程，加强信息公开合法性、合规性审查，扩展信息公开的深度和广度。</w:t>
      </w:r>
      <w:r>
        <w:rPr>
          <w:rFonts w:hint="eastAsia" w:ascii="仿宋_GB2312" w:hAnsi="宋体" w:eastAsia="仿宋_GB2312" w:cs="仿宋_GB2312"/>
          <w:b/>
          <w:bCs/>
          <w:i w:val="0"/>
          <w:iCs w:val="0"/>
          <w:caps w:val="0"/>
          <w:color w:val="333333"/>
          <w:spacing w:val="0"/>
          <w:sz w:val="32"/>
          <w:szCs w:val="32"/>
          <w:bdr w:val="none" w:color="auto" w:sz="0" w:space="0"/>
          <w:shd w:val="clear" w:fill="FFFFFF"/>
        </w:rPr>
        <w:t>三是</w:t>
      </w:r>
      <w:r>
        <w:rPr>
          <w:rFonts w:hint="eastAsia" w:ascii="仿宋_GB2312" w:hAnsi="宋体" w:eastAsia="仿宋_GB2312" w:cs="仿宋_GB2312"/>
          <w:i w:val="0"/>
          <w:iCs w:val="0"/>
          <w:caps w:val="0"/>
          <w:color w:val="333333"/>
          <w:spacing w:val="0"/>
          <w:sz w:val="32"/>
          <w:szCs w:val="32"/>
          <w:bdr w:val="none" w:color="auto" w:sz="0" w:space="0"/>
          <w:shd w:val="clear" w:fill="FFFFFF"/>
        </w:rPr>
        <w:t>加强政务信息公开质量把控，在内容上更加侧重群众关注度高的热点难点问题，加强信息可读性。</w:t>
      </w:r>
      <w:r>
        <w:rPr>
          <w:rFonts w:hint="eastAsia" w:ascii="仿宋_GB2312" w:hAnsi="宋体" w:eastAsia="仿宋_GB2312" w:cs="仿宋_GB2312"/>
          <w:b/>
          <w:bCs/>
          <w:i w:val="0"/>
          <w:iCs w:val="0"/>
          <w:caps w:val="0"/>
          <w:color w:val="333333"/>
          <w:spacing w:val="0"/>
          <w:sz w:val="32"/>
          <w:szCs w:val="32"/>
          <w:bdr w:val="none" w:color="auto" w:sz="0" w:space="0"/>
          <w:shd w:val="clear" w:fill="FFFFFF"/>
        </w:rPr>
        <w:t>四是</w:t>
      </w:r>
      <w:r>
        <w:rPr>
          <w:rFonts w:hint="eastAsia" w:ascii="仿宋_GB2312" w:hAnsi="宋体" w:eastAsia="仿宋_GB2312" w:cs="仿宋_GB2312"/>
          <w:i w:val="0"/>
          <w:iCs w:val="0"/>
          <w:caps w:val="0"/>
          <w:color w:val="333333"/>
          <w:spacing w:val="0"/>
          <w:sz w:val="32"/>
          <w:szCs w:val="32"/>
          <w:bdr w:val="none" w:color="auto" w:sz="0" w:space="0"/>
          <w:shd w:val="clear" w:fill="FFFFFF"/>
        </w:rPr>
        <w:t>加强重点领域信息公开工作，持续做好财政预决算、部门预决算、“三公”经费、财政专项信息、减税降费信息等重点领域信息公开工作。</w:t>
      </w:r>
      <w:r>
        <w:rPr>
          <w:rFonts w:hint="eastAsia" w:ascii="仿宋_GB2312" w:hAnsi="宋体"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宋体" w:eastAsia="仿宋_GB2312" w:cs="仿宋_GB2312"/>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60" w:lineRule="atLeast"/>
        <w:ind w:left="0" w:right="0" w:firstLine="640"/>
        <w:jc w:val="both"/>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5426" w:right="0" w:firstLine="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                  淮南市财政局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                                 2021年1月25日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71C99"/>
    <w:rsid w:val="14071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2522</Words>
  <Characters>2690</Characters>
  <Lines>0</Lines>
  <Paragraphs>0</Paragraphs>
  <TotalTime>2</TotalTime>
  <ScaleCrop>false</ScaleCrop>
  <LinksUpToDate>false</LinksUpToDate>
  <CharactersWithSpaces>2913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2022-10-12T08:38:00Z</dcterms:created>
  <dc:creator>WPS_1502418586</dc:creator>
  <cp:lastModifiedBy>WPS_1502418586</cp:lastModifiedBy>
  <dcterms:modified xsi:type="dcterms:W3CDTF">2022-10-12T08:40:48Z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B2FC2C47501747A9920D3179A4755FE7</vt:lpwstr>
  </property>
</Properties>
</file>