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atLeast"/>
        <w:jc w:val="center"/>
        <w:rPr>
          <w:rFonts w:hint="default" w:ascii="方正小标宋简体" w:hAnsi="方正小标宋简体" w:eastAsia="方正小标宋简体" w:cs="方正小标宋简体"/>
          <w:b w:val="0"/>
          <w:color w:val="333333"/>
          <w:sz w:val="44"/>
          <w:szCs w:val="44"/>
          <w:shd w:val="clear" w:color="auto" w:fill="FFFFFF"/>
        </w:rPr>
      </w:pPr>
      <w:r>
        <w:rPr>
          <w:rFonts w:ascii="方正小标宋简体" w:hAnsi="方正小标宋简体" w:eastAsia="方正小标宋简体" w:cs="方正小标宋简体"/>
          <w:b w:val="0"/>
          <w:color w:val="333333"/>
          <w:sz w:val="44"/>
          <w:szCs w:val="44"/>
          <w:shd w:val="clear" w:color="auto" w:fill="FFFFFF"/>
        </w:rPr>
        <w:t>淮南市财政局2021年政府信息公开年度报告</w:t>
      </w:r>
    </w:p>
    <w:p/>
    <w:p/>
    <w:p>
      <w:pPr>
        <w:shd w:val="clear" w:color="auto" w:fill="FFFFFF"/>
        <w:adjustRightInd w:val="0"/>
        <w:snapToGrid w:val="0"/>
        <w:spacing w:line="560" w:lineRule="exact"/>
        <w:ind w:firstLine="640" w:firstLineChars="200"/>
        <w:rPr>
          <w:rFonts w:ascii="仿宋_GB2312" w:hAnsi="仿宋_GB2312" w:eastAsia="仿宋_GB2312" w:cs="仿宋_GB2312"/>
          <w:sz w:val="32"/>
          <w:szCs w:val="32"/>
        </w:rPr>
      </w:pPr>
      <w:bookmarkStart w:id="0" w:name="OLE_LINK7"/>
      <w:bookmarkStart w:id="1" w:name="OLE_LINK6"/>
      <w:r>
        <w:rPr>
          <w:rFonts w:hint="eastAsia" w:ascii="仿宋_GB2312" w:hAnsi="仿宋_GB2312" w:eastAsia="仿宋_GB2312" w:cs="仿宋_GB2312"/>
          <w:kern w:val="0"/>
          <w:sz w:val="32"/>
          <w:szCs w:val="32"/>
          <w:shd w:val="clear" w:color="auto" w:fill="FFFFFF"/>
        </w:rPr>
        <w:t>本年度报告</w:t>
      </w:r>
      <w:r>
        <w:rPr>
          <w:rFonts w:ascii="仿宋_GB2312" w:hAnsi="仿宋_GB2312" w:eastAsia="仿宋_GB2312" w:cs="仿宋_GB2312"/>
          <w:kern w:val="0"/>
          <w:sz w:val="32"/>
          <w:szCs w:val="32"/>
          <w:shd w:val="clear" w:color="auto" w:fill="FFFFFF"/>
        </w:rPr>
        <w:t>依据《中华人民共和国政府信息公开条例》（国务院令第711号，以下简称《条例》）、《国务院办公厅政府信息与政务公开办公室关于印发&lt;中华人民共和国政府信息公</w:t>
      </w:r>
      <w:bookmarkStart w:id="5" w:name="_GoBack"/>
      <w:bookmarkEnd w:id="5"/>
      <w:r>
        <w:rPr>
          <w:rFonts w:ascii="仿宋_GB2312" w:hAnsi="仿宋_GB2312" w:eastAsia="仿宋_GB2312" w:cs="仿宋_GB2312"/>
          <w:kern w:val="0"/>
          <w:sz w:val="32"/>
          <w:szCs w:val="32"/>
          <w:shd w:val="clear" w:color="auto" w:fill="FFFFFF"/>
        </w:rPr>
        <w:t>开工作年度报告格式&gt;的通知》（国办公开办函〔2021〕30号）及《安徽省政务公开办公室关于做好2021年度政府信息公开工作年度报告编制和发布工作的通知》（皖政务办秘〔2021〕37号）</w:t>
      </w:r>
      <w:r>
        <w:rPr>
          <w:sz w:val="32"/>
          <w:szCs w:val="32"/>
        </w:rPr>
        <w:t>要求</w:t>
      </w:r>
      <w:r>
        <w:rPr>
          <w:rFonts w:hint="eastAsia" w:ascii="仿宋_GB2312" w:hAnsi="仿宋_GB2312" w:eastAsia="仿宋_GB2312" w:cs="仿宋_GB2312"/>
          <w:kern w:val="0"/>
          <w:sz w:val="32"/>
          <w:szCs w:val="32"/>
          <w:shd w:val="clear" w:color="auto" w:fill="FFFFFF"/>
        </w:rPr>
        <w:t>全文包括总体情况、主动公开政府信息情况、收到和处理政府信息公开申请情况、政府信息公开行政复议、行政诉讼情况、政府信息公开工作存在的主要问题及改进情况和其他需要报告的事项，并附相关指标统计附表等。本年度报告的电子版可在淮南市财政局门户网站（http://cz.huainan.gov.cn/）“通知公告”栏下载。如对本报告有任何疑问，请与淮南市财政局办公室联系（地址：淮南市山南新区政务中心国库支付中心大楼723室，电话：0554-6667811，邮编：232001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00"/>
        <w:jc w:val="both"/>
        <w:rPr>
          <w:rFonts w:ascii="黑体" w:hAnsi="宋体" w:eastAsia="黑体" w:cs="黑体"/>
          <w:i w:val="0"/>
          <w:iCs w:val="0"/>
          <w:caps w:val="0"/>
          <w:color w:val="333333"/>
          <w:spacing w:val="0"/>
          <w:sz w:val="32"/>
          <w:szCs w:val="32"/>
          <w:shd w:val="clear" w:fill="FFFFFF"/>
        </w:rPr>
      </w:pPr>
      <w:r>
        <w:rPr>
          <w:rFonts w:hint="eastAsia" w:ascii="黑体" w:hAnsi="黑体" w:eastAsia="黑体" w:cs="宋体"/>
          <w:bCs/>
          <w:kern w:val="0"/>
          <w:sz w:val="32"/>
          <w:szCs w:val="32"/>
        </w:rPr>
        <w:t xml:space="preserve">   </w:t>
      </w:r>
      <w:r>
        <w:rPr>
          <w:rFonts w:ascii="黑体" w:hAnsi="宋体" w:eastAsia="黑体" w:cs="黑体"/>
          <w:i w:val="0"/>
          <w:iCs w:val="0"/>
          <w:caps w:val="0"/>
          <w:color w:val="333333"/>
          <w:spacing w:val="0"/>
          <w:sz w:val="32"/>
          <w:szCs w:val="32"/>
          <w:shd w:val="clear"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00"/>
        <w:jc w:val="both"/>
        <w:rPr>
          <w:rFonts w:hint="eastAsia" w:ascii="仿宋_GB2312" w:hAnsi="仿宋_GB2312" w:eastAsia="仿宋_GB2312" w:cs="仿宋_GB2312"/>
          <w:kern w:val="0"/>
          <w:sz w:val="32"/>
          <w:szCs w:val="32"/>
          <w:shd w:val="clear" w:color="auto" w:fill="FFFFFF"/>
        </w:rPr>
      </w:pPr>
      <w:r>
        <w:rPr>
          <w:rFonts w:ascii="仿宋" w:hAnsi="仿宋" w:eastAsia="仿宋" w:cs="仿宋"/>
          <w:i w:val="0"/>
          <w:iCs w:val="0"/>
          <w:caps w:val="0"/>
          <w:color w:val="000000"/>
          <w:spacing w:val="0"/>
          <w:kern w:val="0"/>
          <w:sz w:val="32"/>
          <w:szCs w:val="32"/>
          <w:shd w:val="clear" w:fill="FFFFFF"/>
          <w:lang w:val="en-US" w:eastAsia="zh-CN" w:bidi="ar"/>
        </w:rPr>
        <w:t>   </w:t>
      </w:r>
      <w:r>
        <w:rPr>
          <w:rFonts w:hint="eastAsia" w:ascii="仿宋_GB2312" w:hAnsi="仿宋_GB2312" w:eastAsia="仿宋_GB2312" w:cs="仿宋_GB2312"/>
          <w:kern w:val="0"/>
          <w:sz w:val="32"/>
          <w:szCs w:val="32"/>
          <w:shd w:val="clear" w:color="auto" w:fill="FFFFFF"/>
          <w:lang w:val="en-US" w:eastAsia="zh-CN"/>
        </w:rPr>
        <w:t>2021年，市财政局贯彻落实《淮南市人民政府办公室2021年政务公开重点工作任务分工》文件要求，加大公开力度，拓宽公开范围，切实保障人民群众的知情权、参与权、表达权、监督权。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17"/>
        <w:jc w:val="both"/>
        <w:rPr>
          <w:rFonts w:hint="default" w:ascii="Calibri" w:hAnsi="Calibri" w:cs="Calibri"/>
          <w:i w:val="0"/>
          <w:iCs w:val="0"/>
          <w:caps w:val="0"/>
          <w:color w:val="333333"/>
          <w:spacing w:val="0"/>
          <w:sz w:val="21"/>
          <w:szCs w:val="21"/>
        </w:rPr>
      </w:pPr>
      <w:r>
        <w:rPr>
          <w:rFonts w:ascii="楷体" w:hAnsi="楷体" w:eastAsia="楷体" w:cs="楷体"/>
          <w:b/>
          <w:bCs/>
          <w:i w:val="0"/>
          <w:iCs w:val="0"/>
          <w:caps w:val="0"/>
          <w:color w:val="333333"/>
          <w:spacing w:val="0"/>
          <w:sz w:val="32"/>
          <w:szCs w:val="32"/>
          <w:shd w:val="clear" w:fill="FFFFFF"/>
        </w:rPr>
        <w:t>（一）主动公开</w:t>
      </w:r>
      <w:r>
        <w:rPr>
          <w:rFonts w:hint="eastAsia" w:ascii="楷体" w:hAnsi="楷体" w:eastAsia="楷体" w:cs="楷体"/>
          <w:b/>
          <w:bCs/>
          <w:i w:val="0"/>
          <w:iCs w:val="0"/>
          <w:caps w:val="0"/>
          <w:color w:val="333333"/>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全面落实政府预决算公开、部门预决算公开和“三公”经费公开的牵头职责，细化公开标准和细则，促进公开透明财政建设。认真对照政府信息公开标准规范，切实加强工作任务落实，深化重点领域信息公开，推动重要政策落地见效。加大财政专项扶贫资金、精准扶贫相关财政资金等信息公开力度。2021年，聚焦市财政局中心工作，市财政局通过门户网站、政府信息公开网、新闻媒体报刊年鉴等渠道主动公开信息1304条。</w:t>
      </w:r>
    </w:p>
    <w:p>
      <w:pPr>
        <w:shd w:val="clear" w:color="auto" w:fill="FFFFFF"/>
        <w:adjustRightInd w:val="0"/>
        <w:snapToGrid w:val="0"/>
        <w:spacing w:line="560" w:lineRule="exact"/>
        <w:ind w:firstLine="643" w:firstLineChars="200"/>
        <w:rPr>
          <w:rFonts w:ascii="楷体_GB2312" w:hAnsi="楷体" w:eastAsia="楷体_GB2312" w:cs="楷体"/>
          <w:b/>
          <w:sz w:val="32"/>
          <w:szCs w:val="32"/>
          <w:shd w:val="clear" w:color="auto" w:fill="FFFFFF"/>
        </w:rPr>
      </w:pPr>
      <w:r>
        <w:rPr>
          <w:rFonts w:hint="eastAsia" w:ascii="楷体_GB2312" w:hAnsi="楷体" w:eastAsia="楷体_GB2312" w:cs="楷体"/>
          <w:b/>
          <w:sz w:val="32"/>
          <w:szCs w:val="32"/>
          <w:shd w:val="clear" w:color="auto" w:fill="FFFFFF"/>
        </w:rPr>
        <w:t>（二）依申请公开</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2021年，共收到依申请公开申请16件，内容涉及财政一般公共预算支出决算、预算绩效管理等信息，已全部按规定办结。</w:t>
      </w:r>
    </w:p>
    <w:p>
      <w:pPr>
        <w:shd w:val="clear" w:color="auto" w:fill="FFFFFF"/>
        <w:adjustRightInd w:val="0"/>
        <w:snapToGrid w:val="0"/>
        <w:spacing w:line="560" w:lineRule="exact"/>
        <w:ind w:firstLine="643" w:firstLineChars="200"/>
        <w:rPr>
          <w:rFonts w:ascii="楷体_GB2312" w:hAnsi="楷体" w:eastAsia="楷体_GB2312" w:cs="楷体"/>
          <w:b/>
          <w:sz w:val="32"/>
          <w:szCs w:val="32"/>
          <w:shd w:val="clear" w:color="auto" w:fill="FFFFFF"/>
        </w:rPr>
      </w:pPr>
      <w:r>
        <w:rPr>
          <w:rFonts w:hint="eastAsia" w:ascii="楷体_GB2312" w:hAnsi="楷体" w:eastAsia="楷体_GB2312" w:cs="楷体"/>
          <w:b/>
          <w:sz w:val="32"/>
          <w:szCs w:val="32"/>
          <w:shd w:val="clear" w:color="auto" w:fill="FFFFFF"/>
        </w:rPr>
        <w:t>（三）政府信息管理</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建立健全信息收集、审查、发布机制，严格落实意识形态工作责任制及保密审查制度，经审查依法应当公开的事项，及时准确向社会公开，确保政府信息规范管理。</w:t>
      </w:r>
    </w:p>
    <w:p>
      <w:pPr>
        <w:shd w:val="clear" w:color="auto" w:fill="FFFFFF"/>
        <w:adjustRightInd w:val="0"/>
        <w:snapToGrid w:val="0"/>
        <w:spacing w:line="560" w:lineRule="exact"/>
        <w:ind w:firstLine="643" w:firstLineChars="200"/>
        <w:rPr>
          <w:rFonts w:ascii="楷体_GB2312" w:hAnsi="楷体" w:eastAsia="楷体_GB2312" w:cs="楷体"/>
          <w:b/>
          <w:sz w:val="32"/>
          <w:szCs w:val="32"/>
          <w:shd w:val="clear" w:color="auto" w:fill="FFFFFF"/>
        </w:rPr>
      </w:pPr>
      <w:r>
        <w:rPr>
          <w:rFonts w:hint="eastAsia" w:ascii="楷体_GB2312" w:hAnsi="楷体" w:eastAsia="楷体_GB2312" w:cs="楷体"/>
          <w:b/>
          <w:sz w:val="32"/>
          <w:szCs w:val="32"/>
          <w:shd w:val="clear" w:color="auto" w:fill="FFFFFF"/>
        </w:rPr>
        <w:t>（四）政府信息平台建设</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市财政局坚持把网站列为公开信息的重要途径，局门户网站开设了机构设置、财政新闻、政策解读、政府采购、等栏目,并在网站明显位置设置工作动态、财政预决算、三公经费、减税降费、咨询投诉等内容；方便群众查询信息和监督反馈。</w:t>
      </w:r>
    </w:p>
    <w:p>
      <w:pPr>
        <w:shd w:val="clear" w:color="auto" w:fill="FFFFFF"/>
        <w:adjustRightInd w:val="0"/>
        <w:snapToGrid w:val="0"/>
        <w:spacing w:line="560" w:lineRule="exact"/>
        <w:ind w:firstLine="643" w:firstLineChars="200"/>
        <w:rPr>
          <w:rFonts w:ascii="楷体_GB2312" w:hAnsi="楷体" w:eastAsia="楷体_GB2312" w:cs="楷体"/>
          <w:b/>
          <w:sz w:val="32"/>
          <w:szCs w:val="32"/>
          <w:shd w:val="clear" w:color="auto" w:fill="FFFFFF"/>
        </w:rPr>
      </w:pPr>
      <w:r>
        <w:rPr>
          <w:rFonts w:hint="eastAsia" w:ascii="楷体_GB2312" w:hAnsi="楷体" w:eastAsia="楷体_GB2312" w:cs="楷体"/>
          <w:b/>
          <w:sz w:val="32"/>
          <w:szCs w:val="32"/>
          <w:shd w:val="clear" w:color="auto" w:fill="FFFFFF"/>
        </w:rPr>
        <w:t>（五）监督保障</w:t>
      </w:r>
    </w:p>
    <w:p>
      <w:pPr>
        <w:shd w:val="clear" w:color="auto" w:fill="FFFFFF"/>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shd w:val="clear" w:color="auto" w:fill="FFFFFF"/>
        </w:rPr>
        <w:t>强化组织领导，局主要负责同志认真履行信息公开工作第一责任人的职责，亲自抓，负总责，研究部署推进工作；局分管领导按照工作分工，对职责范围内的信息公开工作负直接领导责任；各科室、单位负责人按照局的统一部署，认真抓好本科室、单位信息公开制度的组织实施，使政务信息公开工作进一步规范化、制度化，确保工作持续良好开展。</w:t>
      </w:r>
    </w:p>
    <w:p>
      <w:pPr>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二、主动公开政府信息情况</w:t>
      </w:r>
    </w:p>
    <w:tbl>
      <w:tblPr>
        <w:tblStyle w:val="6"/>
        <w:tblW w:w="9310" w:type="dxa"/>
        <w:tblInd w:w="132" w:type="dxa"/>
        <w:tblLayout w:type="fixed"/>
        <w:tblCellMar>
          <w:top w:w="0" w:type="dxa"/>
          <w:left w:w="0" w:type="dxa"/>
          <w:bottom w:w="0" w:type="dxa"/>
          <w:right w:w="0" w:type="dxa"/>
        </w:tblCellMar>
      </w:tblPr>
      <w:tblGrid>
        <w:gridCol w:w="2811"/>
        <w:gridCol w:w="3281"/>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3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本年新</w:t>
            </w:r>
            <w:r>
              <w:rPr>
                <w:rFonts w:ascii="宋体" w:cs="宋体"/>
                <w:kern w:val="0"/>
                <w:sz w:val="20"/>
                <w:szCs w:val="20"/>
              </w:rPr>
              <w:br w:type="textWrapping"/>
            </w:r>
            <w:r>
              <w:rPr>
                <w:rFonts w:hint="eastAsia" w:ascii="宋体" w:hAnsi="宋体" w:cs="宋体"/>
                <w:kern w:val="0"/>
                <w:sz w:val="20"/>
                <w:szCs w:val="20"/>
              </w:rPr>
              <w:t>公开数量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规章</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471"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规范性文件</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2</w:t>
            </w:r>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3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trPr>
        <w:tc>
          <w:tcPr>
            <w:tcW w:w="2811"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行政许可</w:t>
            </w:r>
          </w:p>
        </w:tc>
        <w:tc>
          <w:tcPr>
            <w:tcW w:w="3281" w:type="dxa"/>
            <w:tcBorders>
              <w:top w:val="nil"/>
              <w:left w:val="nil"/>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550" w:hRule="atLeast"/>
        </w:trPr>
        <w:tc>
          <w:tcPr>
            <w:tcW w:w="2811"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其他对外管理服务事项</w:t>
            </w:r>
          </w:p>
        </w:tc>
        <w:tc>
          <w:tcPr>
            <w:tcW w:w="3281" w:type="dxa"/>
            <w:tcBorders>
              <w:top w:val="nil"/>
              <w:left w:val="nil"/>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3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trPr>
        <w:tc>
          <w:tcPr>
            <w:tcW w:w="2811"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行政处罚</w:t>
            </w:r>
          </w:p>
        </w:tc>
        <w:tc>
          <w:tcPr>
            <w:tcW w:w="3281" w:type="dxa"/>
            <w:tcBorders>
              <w:top w:val="nil"/>
              <w:left w:val="nil"/>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409" w:hRule="atLeast"/>
        </w:trPr>
        <w:tc>
          <w:tcPr>
            <w:tcW w:w="2811" w:type="dxa"/>
            <w:tcBorders>
              <w:top w:val="nil"/>
              <w:left w:val="single" w:color="auto" w:sz="8" w:space="0"/>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行政强制</w:t>
            </w:r>
          </w:p>
        </w:tc>
        <w:tc>
          <w:tcPr>
            <w:tcW w:w="3281" w:type="dxa"/>
            <w:tcBorders>
              <w:top w:val="nil"/>
              <w:left w:val="nil"/>
              <w:bottom w:val="single" w:color="auto" w:sz="8" w:space="0"/>
              <w:right w:val="single" w:color="auto" w:sz="8" w:space="0"/>
            </w:tcBorders>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1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上一年项目数量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551"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行政事业性收费</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4"/>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585"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信息内容</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采购项目数量</w:t>
            </w:r>
          </w:p>
        </w:tc>
        <w:tc>
          <w:tcPr>
            <w:tcW w:w="3218"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trPr>
        <w:tc>
          <w:tcPr>
            <w:tcW w:w="2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政府集中采购</w:t>
            </w:r>
          </w:p>
        </w:tc>
        <w:tc>
          <w:tcPr>
            <w:tcW w:w="32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t>1642</w:t>
            </w:r>
          </w:p>
        </w:tc>
        <w:tc>
          <w:tcPr>
            <w:tcW w:w="3218"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t>84765.18</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三、收到和处理政府信息公开申请情况</w:t>
      </w:r>
    </w:p>
    <w:tbl>
      <w:tblPr>
        <w:tblStyle w:val="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sz w:val="24"/>
                <w:szCs w:val="24"/>
              </w:rPr>
            </w:pPr>
          </w:p>
        </w:tc>
        <w:tc>
          <w:tcPr>
            <w:tcW w:w="591"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2957"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592"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sz w:val="24"/>
                <w:szCs w:val="24"/>
              </w:rPr>
            </w:pPr>
          </w:p>
        </w:tc>
        <w:tc>
          <w:tcPr>
            <w:tcW w:w="591"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592" w:type="dxa"/>
            <w:vMerge w:val="continue"/>
            <w:noWrap w:val="0"/>
            <w:tcMar>
              <w:left w:w="57" w:type="dxa"/>
              <w:right w:w="57" w:type="dxa"/>
            </w:tcMar>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16</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15</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16</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eastAsia" w:cs="Times New Roman"/>
                <w:kern w:val="0"/>
                <w:sz w:val="20"/>
                <w:szCs w:val="20"/>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bl>
    <w:p/>
    <w:p>
      <w:pPr>
        <w:widowControl/>
        <w:spacing w:line="60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四、政府信息公开行政复议、行政诉讼情况</w:t>
      </w:r>
    </w:p>
    <w:tbl>
      <w:tblPr>
        <w:tblStyle w:val="6"/>
        <w:tblW w:w="9214" w:type="dxa"/>
        <w:tblInd w:w="132" w:type="dxa"/>
        <w:tblLayout w:type="fixed"/>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asci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cs="宋体"/>
                <w:kern w:val="0"/>
                <w:sz w:val="20"/>
                <w:szCs w:val="20"/>
              </w:rPr>
              <w:t>0</w:t>
            </w:r>
            <w:r>
              <w:rPr>
                <w:rFonts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cs="宋体"/>
                <w:kern w:val="0"/>
                <w:sz w:val="20"/>
                <w:szCs w:val="20"/>
              </w:rPr>
              <w:t> </w:t>
            </w:r>
            <w:r>
              <w:rPr>
                <w:rFonts w:hint="eastAsia"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cs="宋体"/>
                <w:kern w:val="0"/>
                <w:sz w:val="20"/>
                <w:szCs w:val="20"/>
              </w:rPr>
              <w:t> </w:t>
            </w:r>
            <w:r>
              <w:rPr>
                <w:rFonts w:hint="eastAsia"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cs="宋体"/>
                <w:kern w:val="0"/>
                <w:sz w:val="20"/>
                <w:szCs w:val="20"/>
              </w:rPr>
              <w:t> </w:t>
            </w:r>
            <w:r>
              <w:rPr>
                <w:rFonts w:hint="eastAsia"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cs="宋体"/>
                <w:kern w:val="0"/>
                <w:sz w:val="20"/>
                <w:szCs w:val="20"/>
              </w:rPr>
              <w:t> </w:t>
            </w:r>
            <w:r>
              <w:rPr>
                <w:rFonts w:hint="eastAsia"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rPr>
              <w:t>0</w:t>
            </w:r>
            <w:r>
              <w:rPr>
                <w:rFonts w:ascii="宋体" w:cs="宋体"/>
                <w:kern w:val="0"/>
                <w:sz w:val="20"/>
                <w:szCs w:val="20"/>
              </w:rPr>
              <w:t> </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hint="eastAsia" w:ascii="宋体" w:cs="宋体"/>
                <w:kern w:val="0"/>
                <w:sz w:val="20"/>
                <w:szCs w:val="20"/>
              </w:rPr>
              <w:t>0</w:t>
            </w:r>
            <w:r>
              <w:rPr>
                <w:rFonts w:ascii="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ascii="宋体" w:cs="宋体"/>
                <w:kern w:val="0"/>
                <w:sz w:val="24"/>
              </w:rPr>
            </w:pPr>
            <w:r>
              <w:rPr>
                <w:rFonts w:ascii="宋体" w:cs="宋体"/>
                <w:kern w:val="0"/>
                <w:sz w:val="20"/>
                <w:szCs w:val="20"/>
              </w:rPr>
              <w:t> </w:t>
            </w:r>
            <w:r>
              <w:rPr>
                <w:rFonts w:hint="eastAsia" w:ascii="宋体" w:cs="宋体"/>
                <w:kern w:val="0"/>
                <w:sz w:val="20"/>
                <w:szCs w:val="20"/>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ascii="宋体" w:cs="宋体"/>
                <w:kern w:val="0"/>
                <w:sz w:val="24"/>
              </w:rPr>
            </w:pPr>
            <w:r>
              <w:rPr>
                <w:rFonts w:hint="eastAsia" w:ascii="宋体" w:cs="宋体"/>
                <w:kern w:val="0"/>
                <w:sz w:val="24"/>
              </w:rPr>
              <w:t>0</w:t>
            </w:r>
          </w:p>
        </w:tc>
      </w:tr>
    </w:tbl>
    <w:p>
      <w:pPr>
        <w:adjustRightInd w:val="0"/>
        <w:snapToGrid w:val="0"/>
        <w:spacing w:line="560" w:lineRule="exact"/>
        <w:ind w:firstLine="640" w:firstLineChars="200"/>
        <w:rPr>
          <w:rFonts w:ascii="黑体" w:hAnsi="黑体" w:eastAsia="黑体" w:cs="宋体"/>
          <w:kern w:val="0"/>
          <w:sz w:val="32"/>
          <w:szCs w:val="32"/>
        </w:rPr>
      </w:pPr>
      <w:bookmarkStart w:id="2" w:name="OLE_LINK1"/>
      <w:r>
        <w:rPr>
          <w:rFonts w:hint="eastAsia" w:ascii="黑体" w:hAnsi="黑体" w:eastAsia="黑体" w:cs="宋体"/>
          <w:bCs/>
          <w:kern w:val="0"/>
          <w:sz w:val="32"/>
          <w:szCs w:val="32"/>
        </w:rPr>
        <w:t>五、存在的主要问题及改进情况</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bookmarkStart w:id="3" w:name="OLE_LINK3"/>
      <w:bookmarkStart w:id="4" w:name="OLE_LINK2"/>
      <w:r>
        <w:rPr>
          <w:rFonts w:hint="eastAsia" w:ascii="仿宋_GB2312" w:hAnsi="仿宋_GB2312" w:eastAsia="仿宋_GB2312" w:cs="仿宋_GB2312"/>
          <w:sz w:val="32"/>
          <w:szCs w:val="32"/>
          <w:shd w:val="clear" w:color="auto" w:fill="FFFFFF"/>
        </w:rPr>
        <w:t>2021年，市财政局政府信息公开工作取得了一定成效，但仍存在一些问题：部分文件政策解读质量有待提高；图片解读、视频解读较少；信息公开工作的人员配置仍需进一步优化等问题。</w:t>
      </w:r>
    </w:p>
    <w:p>
      <w:pPr>
        <w:pStyle w:val="5"/>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接下来，市财政局将认真贯彻落实中央及省市有关信息公开工作的规定要求，切实推动信息公开工作提质增效：</w:t>
      </w:r>
    </w:p>
    <w:p>
      <w:pPr>
        <w:pStyle w:val="5"/>
        <w:shd w:val="clear" w:color="auto" w:fill="FFFFFF"/>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shd w:val="clear" w:color="auto" w:fill="FFFFFF"/>
        </w:rPr>
      </w:pPr>
      <w:r>
        <w:rPr>
          <w:rStyle w:val="8"/>
          <w:rFonts w:hint="eastAsia" w:ascii="仿宋_GB2312" w:hAnsi="仿宋_GB2312" w:eastAsia="仿宋_GB2312" w:cs="仿宋_GB2312"/>
          <w:sz w:val="32"/>
          <w:szCs w:val="32"/>
          <w:shd w:val="clear" w:color="auto" w:fill="FFFFFF"/>
        </w:rPr>
        <w:t>一是</w:t>
      </w:r>
      <w:r>
        <w:rPr>
          <w:rStyle w:val="8"/>
          <w:rFonts w:hint="eastAsia" w:ascii="仿宋_GB2312" w:hAnsi="仿宋_GB2312" w:eastAsia="仿宋_GB2312" w:cs="仿宋_GB2312"/>
          <w:b w:val="0"/>
          <w:sz w:val="32"/>
          <w:szCs w:val="32"/>
          <w:shd w:val="clear" w:color="auto" w:fill="FFFFFF"/>
        </w:rPr>
        <w:t>充实工作力量</w:t>
      </w:r>
      <w:r>
        <w:rPr>
          <w:rStyle w:val="8"/>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加强内部业务培训，</w:t>
      </w:r>
      <w:r>
        <w:rPr>
          <w:rFonts w:hint="eastAsia" w:ascii="仿宋_GB2312" w:eastAsia="仿宋_GB2312"/>
          <w:color w:val="333333"/>
          <w:sz w:val="32"/>
          <w:szCs w:val="32"/>
          <w:shd w:val="clear" w:color="auto" w:fill="FFFFFF"/>
        </w:rPr>
        <w:t>科学设置培训内容，</w:t>
      </w:r>
      <w:r>
        <w:rPr>
          <w:rFonts w:hint="eastAsia" w:ascii="仿宋_GB2312" w:hAnsi="仿宋_GB2312" w:eastAsia="仿宋_GB2312" w:cs="仿宋_GB2312"/>
          <w:sz w:val="32"/>
          <w:szCs w:val="32"/>
          <w:shd w:val="clear" w:color="auto" w:fill="FFFFFF"/>
        </w:rPr>
        <w:t>优化信息公开工作人员配置，进一步提高财政干部职工对做好政务信息公开工作重要性的认识，</w:t>
      </w:r>
      <w:r>
        <w:rPr>
          <w:rFonts w:hint="eastAsia" w:ascii="仿宋_GB2312" w:eastAsia="仿宋_GB2312"/>
          <w:color w:val="333333"/>
          <w:sz w:val="32"/>
          <w:szCs w:val="32"/>
          <w:shd w:val="clear" w:color="auto" w:fill="FFFFFF"/>
        </w:rPr>
        <w:t>提升政务公开人员工作能力水平，</w:t>
      </w:r>
      <w:r>
        <w:rPr>
          <w:rFonts w:hint="eastAsia" w:ascii="仿宋_GB2312" w:hAnsi="仿宋_GB2312" w:eastAsia="仿宋_GB2312" w:cs="仿宋_GB2312"/>
          <w:sz w:val="32"/>
          <w:szCs w:val="32"/>
          <w:shd w:val="clear" w:color="auto" w:fill="FFFFFF"/>
        </w:rPr>
        <w:t>夯实工作基础。</w:t>
      </w:r>
    </w:p>
    <w:p>
      <w:pPr>
        <w:pStyle w:val="5"/>
        <w:shd w:val="clear" w:color="auto" w:fill="FFFFFF"/>
        <w:adjustRightInd w:val="0"/>
        <w:snapToGrid w:val="0"/>
        <w:spacing w:beforeAutospacing="0" w:afterAutospacing="0" w:line="560" w:lineRule="exact"/>
        <w:ind w:firstLine="643" w:firstLineChars="200"/>
        <w:jc w:val="both"/>
        <w:rPr>
          <w:rFonts w:ascii="仿宋_GB2312" w:eastAsia="仿宋_GB2312"/>
          <w:color w:val="333333"/>
          <w:sz w:val="32"/>
          <w:szCs w:val="32"/>
          <w:shd w:val="clear" w:color="auto" w:fill="FFFFFF"/>
        </w:rPr>
      </w:pPr>
      <w:r>
        <w:rPr>
          <w:rStyle w:val="8"/>
          <w:rFonts w:hint="eastAsia" w:ascii="仿宋_GB2312" w:hAnsi="仿宋_GB2312" w:eastAsia="仿宋_GB2312" w:cs="仿宋_GB2312"/>
          <w:sz w:val="32"/>
          <w:szCs w:val="32"/>
          <w:shd w:val="clear" w:color="auto" w:fill="FFFFFF"/>
        </w:rPr>
        <w:t>二是</w:t>
      </w:r>
      <w:r>
        <w:rPr>
          <w:rFonts w:hint="eastAsia" w:ascii="仿宋_GB2312" w:hAnsi="仿宋_GB2312" w:eastAsia="仿宋_GB2312" w:cs="仿宋_GB2312"/>
          <w:sz w:val="32"/>
          <w:szCs w:val="32"/>
          <w:shd w:val="clear" w:color="auto" w:fill="FFFFFF"/>
        </w:rPr>
        <w:t>加强</w:t>
      </w:r>
      <w:r>
        <w:rPr>
          <w:rFonts w:hint="eastAsia" w:ascii="仿宋_GB2312" w:eastAsia="仿宋_GB2312"/>
          <w:color w:val="333333"/>
          <w:sz w:val="32"/>
          <w:szCs w:val="32"/>
          <w:shd w:val="clear" w:color="auto" w:fill="FFFFFF"/>
        </w:rPr>
        <w:t>规范公开行为，深入做好《政府信息公开条例》的贯彻执行，按照规范化、标准化要求，及时调整规范政府信息公开平台各栏目及内容；按照答复及时、内容完整、格式规范的工作原则，加强依申请公开办理工作管理，规范办理程序。</w:t>
      </w:r>
    </w:p>
    <w:p>
      <w:pPr>
        <w:pStyle w:val="5"/>
        <w:shd w:val="clear" w:color="auto" w:fill="FFFFFF"/>
        <w:adjustRightInd w:val="0"/>
        <w:snapToGrid w:val="0"/>
        <w:spacing w:beforeAutospacing="0" w:afterAutospacing="0" w:line="56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eastAsia="仿宋_GB2312"/>
          <w:b/>
          <w:color w:val="333333"/>
          <w:sz w:val="32"/>
          <w:szCs w:val="32"/>
          <w:shd w:val="clear" w:color="auto" w:fill="FFFFFF"/>
        </w:rPr>
        <w:t>三是</w:t>
      </w:r>
      <w:r>
        <w:rPr>
          <w:rFonts w:hint="eastAsia" w:ascii="仿宋_GB2312" w:eastAsia="仿宋_GB2312"/>
          <w:color w:val="333333"/>
          <w:sz w:val="32"/>
          <w:szCs w:val="32"/>
          <w:shd w:val="clear" w:color="auto" w:fill="FFFFFF"/>
        </w:rPr>
        <w:t>丰富解读形式，加强图片解读、视频解读在政策解读中的运用，增强政策解读在政府信息公开、群众办事服务中的广泛应用。同时，提高文字解读质量，在解读内容上常抓不懈，进一步增强政策影响力，提升信息发布、解读的整体水平。</w:t>
      </w:r>
      <w:bookmarkEnd w:id="3"/>
    </w:p>
    <w:bookmarkEnd w:id="4"/>
    <w:p>
      <w:pPr>
        <w:pStyle w:val="5"/>
        <w:shd w:val="clear" w:color="auto" w:fill="FFFFFF"/>
        <w:adjustRightInd w:val="0"/>
        <w:snapToGrid w:val="0"/>
        <w:spacing w:beforeAutospacing="0" w:afterAutospacing="0" w:line="560" w:lineRule="exact"/>
        <w:ind w:firstLine="640" w:firstLineChars="200"/>
        <w:jc w:val="both"/>
        <w:rPr>
          <w:rFonts w:ascii="黑体" w:hAnsi="黑体" w:eastAsia="黑体" w:cs="宋体"/>
          <w:sz w:val="32"/>
          <w:szCs w:val="32"/>
        </w:rPr>
      </w:pPr>
      <w:r>
        <w:rPr>
          <w:rFonts w:hint="eastAsia" w:ascii="黑体" w:hAnsi="黑体" w:eastAsia="黑体" w:cs="宋体"/>
          <w:bCs/>
          <w:sz w:val="32"/>
          <w:szCs w:val="32"/>
        </w:rPr>
        <w:t>六、其他需要报告的事项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 w:hAnsi="仿宋" w:eastAsia="仿宋"/>
          <w:color w:val="333333"/>
          <w:sz w:val="32"/>
          <w:szCs w:val="32"/>
          <w:shd w:val="clear" w:color="auto" w:fill="FFFFFF"/>
        </w:rPr>
        <w:t>按照《国务院办公厅关于印发〈政府信息公开信息处理费管理办法〉的通知》（国办函〔2020〕109号）规定的按件、按量收费标准，本年度没有产生信息公开处理费。</w:t>
      </w:r>
      <w:bookmarkEnd w:id="2"/>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5472" w:firstLineChars="1710"/>
        <w:rPr>
          <w:rFonts w:ascii="仿宋_GB2312" w:hAnsi="楷体" w:eastAsia="仿宋_GB2312" w:cs="楷体"/>
          <w:sz w:val="32"/>
          <w:szCs w:val="32"/>
        </w:rPr>
      </w:pPr>
      <w:r>
        <w:rPr>
          <w:rFonts w:hint="eastAsia" w:ascii="仿宋_GB2312" w:hAnsi="楷体" w:eastAsia="仿宋_GB2312" w:cs="楷体"/>
          <w:sz w:val="32"/>
          <w:szCs w:val="32"/>
        </w:rPr>
        <w:t>淮南市财政局</w:t>
      </w:r>
    </w:p>
    <w:p>
      <w:pPr>
        <w:adjustRightInd w:val="0"/>
        <w:snapToGrid w:val="0"/>
        <w:spacing w:line="560" w:lineRule="exact"/>
        <w:ind w:firstLine="5280" w:firstLineChars="1650"/>
        <w:rPr>
          <w:rFonts w:ascii="仿宋_GB2312" w:hAnsi="楷体" w:eastAsia="仿宋_GB2312" w:cs="楷体"/>
          <w:sz w:val="32"/>
          <w:szCs w:val="32"/>
        </w:rPr>
      </w:pPr>
      <w:r>
        <w:rPr>
          <w:rFonts w:hint="eastAsia" w:ascii="仿宋_GB2312" w:hAnsi="楷体" w:eastAsia="仿宋_GB2312" w:cs="楷体"/>
          <w:sz w:val="32"/>
          <w:szCs w:val="32"/>
        </w:rPr>
        <w:t>2022年1月26日</w:t>
      </w:r>
      <w:bookmarkEnd w:id="0"/>
      <w:bookmarkEnd w:id="1"/>
    </w:p>
    <w:sectPr>
      <w:pgSz w:w="11906" w:h="16838"/>
      <w:pgMar w:top="2155" w:right="1588" w:bottom="170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TIwMTg0ZjgwNmQyYTdkZjExOTc1NzE5ZmRhMzYifQ=="/>
  </w:docVars>
  <w:rsids>
    <w:rsidRoot w:val="4DFD14DA"/>
    <w:rsid w:val="000302C2"/>
    <w:rsid w:val="00093CF5"/>
    <w:rsid w:val="00312C95"/>
    <w:rsid w:val="00322FF3"/>
    <w:rsid w:val="003612DD"/>
    <w:rsid w:val="00363398"/>
    <w:rsid w:val="004A6C0D"/>
    <w:rsid w:val="004B2B33"/>
    <w:rsid w:val="004C27F7"/>
    <w:rsid w:val="004E49DD"/>
    <w:rsid w:val="0057601B"/>
    <w:rsid w:val="006077F3"/>
    <w:rsid w:val="006722A4"/>
    <w:rsid w:val="006D613A"/>
    <w:rsid w:val="006F4E7E"/>
    <w:rsid w:val="009E29AD"/>
    <w:rsid w:val="00A059DA"/>
    <w:rsid w:val="00A91E1F"/>
    <w:rsid w:val="00C35378"/>
    <w:rsid w:val="00C53A69"/>
    <w:rsid w:val="00DA7A9D"/>
    <w:rsid w:val="00DC24C5"/>
    <w:rsid w:val="00DD46B3"/>
    <w:rsid w:val="00DD46C2"/>
    <w:rsid w:val="00E0093B"/>
    <w:rsid w:val="00E625DB"/>
    <w:rsid w:val="00F23A47"/>
    <w:rsid w:val="00F36467"/>
    <w:rsid w:val="00FF65E2"/>
    <w:rsid w:val="0B9C0A21"/>
    <w:rsid w:val="13A0188C"/>
    <w:rsid w:val="175E56EA"/>
    <w:rsid w:val="1A722DF7"/>
    <w:rsid w:val="1E3803E1"/>
    <w:rsid w:val="24062AD3"/>
    <w:rsid w:val="271A7AA6"/>
    <w:rsid w:val="29CD532B"/>
    <w:rsid w:val="30F15F25"/>
    <w:rsid w:val="31587173"/>
    <w:rsid w:val="31AE6A77"/>
    <w:rsid w:val="42450E73"/>
    <w:rsid w:val="471433F9"/>
    <w:rsid w:val="4ABA44D1"/>
    <w:rsid w:val="4C852F23"/>
    <w:rsid w:val="4DFD14DA"/>
    <w:rsid w:val="4ECF4462"/>
    <w:rsid w:val="51BD1068"/>
    <w:rsid w:val="634F3674"/>
    <w:rsid w:val="67DD3C60"/>
    <w:rsid w:val="711275B6"/>
    <w:rsid w:val="7773092F"/>
    <w:rsid w:val="7C3D7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2488</Words>
  <Characters>2609</Characters>
  <Lines>81</Lines>
  <Paragraphs>38</Paragraphs>
  <TotalTime>0</TotalTime>
  <ScaleCrop>false</ScaleCrop>
  <LinksUpToDate>false</LinksUpToDate>
  <CharactersWithSpaces>2784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WPS_1502418586</dc:creator>
  <cp:lastModifiedBy>WPS_1502418586</cp:lastModifiedBy>
  <cp:lastPrinted>2021-01-25T02:35:00Z</cp:lastPrinted>
  <dcterms:modified xsi:type="dcterms:W3CDTF">2023-02-01T02:52:57Z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DED8D961052942C68D764440EF79825D</vt:lpwstr>
  </property>
</Properties>
</file>