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auto"/>
          <w:sz w:val="32"/>
          <w:szCs w:val="32"/>
          <w:highlight w:val="none"/>
        </w:rPr>
      </w:pPr>
    </w:p>
    <w:p>
      <w:pPr>
        <w:pStyle w:val="2"/>
        <w:rPr>
          <w:rFonts w:hint="eastAsia"/>
          <w:color w:val="auto"/>
          <w:highlight w:val="none"/>
        </w:rPr>
      </w:pPr>
    </w:p>
    <w:p>
      <w:pPr>
        <w:adjustRightInd w:val="0"/>
        <w:snapToGrid w:val="0"/>
        <w:spacing w:line="360" w:lineRule="auto"/>
        <w:rPr>
          <w:rFonts w:hint="eastAsia" w:ascii="华文中宋" w:hAnsi="华文中宋" w:eastAsia="华文中宋" w:cs="华文中宋"/>
          <w:b/>
          <w:color w:val="auto"/>
          <w:sz w:val="52"/>
          <w:szCs w:val="84"/>
          <w:highlight w:val="none"/>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淮南市地方金融监督管理局2023</w:t>
      </w:r>
      <w:r>
        <w:rPr>
          <w:rFonts w:hint="eastAsia" w:ascii="方正小标宋简体" w:hAnsi="方正小标宋简体" w:eastAsia="方正小标宋简体" w:cs="方正小标宋简体"/>
          <w:b w:val="0"/>
          <w:bCs/>
          <w:color w:val="auto"/>
          <w:sz w:val="44"/>
          <w:szCs w:val="44"/>
          <w:highlight w:val="none"/>
        </w:rPr>
        <w:t>年度部门决算</w:t>
      </w: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pStyle w:val="6"/>
        <w:adjustRightInd w:val="0"/>
        <w:snapToGrid w:val="0"/>
        <w:spacing w:before="0" w:beforeAutospacing="0" w:after="0" w:afterAutospacing="0" w:line="360" w:lineRule="auto"/>
        <w:jc w:val="center"/>
        <w:rPr>
          <w:rFonts w:hint="eastAsia" w:ascii="黑体" w:hAnsi="黑体" w:eastAsia="黑体"/>
          <w:bCs/>
          <w:color w:val="auto"/>
          <w:sz w:val="44"/>
          <w:szCs w:val="44"/>
          <w:highlight w:val="none"/>
        </w:rPr>
      </w:pPr>
      <w:r>
        <w:rPr>
          <w:rFonts w:hint="eastAsia" w:ascii="黑体" w:hAnsi="黑体" w:eastAsia="黑体"/>
          <w:bCs/>
          <w:color w:val="auto"/>
          <w:sz w:val="44"/>
          <w:szCs w:val="44"/>
          <w:highlight w:val="none"/>
        </w:rPr>
        <w:t>202</w:t>
      </w:r>
      <w:r>
        <w:rPr>
          <w:rFonts w:hint="eastAsia" w:ascii="黑体" w:hAnsi="黑体" w:eastAsia="黑体"/>
          <w:bCs/>
          <w:color w:val="auto"/>
          <w:sz w:val="44"/>
          <w:szCs w:val="44"/>
          <w:highlight w:val="none"/>
          <w:lang w:val="en-US" w:eastAsia="zh-CN"/>
        </w:rPr>
        <w:t>4</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8</w:t>
      </w:r>
      <w:r>
        <w:rPr>
          <w:rFonts w:hint="eastAsia" w:ascii="黑体" w:hAnsi="黑体" w:eastAsia="黑体"/>
          <w:bCs/>
          <w:color w:val="auto"/>
          <w:sz w:val="44"/>
          <w:szCs w:val="44"/>
          <w:highlight w:val="none"/>
        </w:rPr>
        <w:t>月</w:t>
      </w:r>
    </w:p>
    <w:p>
      <w:pPr>
        <w:spacing w:line="580" w:lineRule="exact"/>
        <w:jc w:val="center"/>
        <w:rPr>
          <w:rFonts w:hint="eastAsia" w:ascii="黑体" w:hAnsi="宋体" w:eastAsia="黑体"/>
          <w:bCs/>
          <w:color w:val="auto"/>
          <w:sz w:val="48"/>
          <w:szCs w:val="48"/>
          <w:highlight w:val="none"/>
        </w:rPr>
      </w:pPr>
    </w:p>
    <w:p>
      <w:pPr>
        <w:spacing w:line="580" w:lineRule="exact"/>
        <w:jc w:val="center"/>
        <w:rPr>
          <w:rFonts w:hint="eastAsia" w:ascii="黑体" w:hAnsi="宋体" w:eastAsia="黑体"/>
          <w:bCs/>
          <w:color w:val="auto"/>
          <w:sz w:val="48"/>
          <w:szCs w:val="48"/>
          <w:highlight w:val="none"/>
        </w:rPr>
      </w:pPr>
    </w:p>
    <w:p>
      <w:pPr>
        <w:spacing w:line="580" w:lineRule="exact"/>
        <w:jc w:val="center"/>
        <w:rPr>
          <w:rFonts w:hint="eastAsia" w:ascii="黑体" w:hAnsi="宋体" w:eastAsia="黑体"/>
          <w:bCs/>
          <w:color w:val="auto"/>
          <w:sz w:val="48"/>
          <w:szCs w:val="48"/>
          <w:highlight w:val="none"/>
        </w:rPr>
      </w:pPr>
    </w:p>
    <w:p>
      <w:pPr>
        <w:spacing w:line="580" w:lineRule="exact"/>
        <w:jc w:val="center"/>
        <w:rPr>
          <w:rFonts w:hint="eastAsia" w:ascii="黑体" w:hAnsi="宋体" w:eastAsia="黑体"/>
          <w:bCs/>
          <w:color w:val="auto"/>
          <w:sz w:val="48"/>
          <w:szCs w:val="48"/>
          <w:highlight w:val="none"/>
        </w:rPr>
      </w:pPr>
      <w:r>
        <w:rPr>
          <w:rFonts w:hint="eastAsia" w:ascii="黑体" w:hAnsi="宋体" w:eastAsia="黑体"/>
          <w:bCs/>
          <w:color w:val="auto"/>
          <w:sz w:val="48"/>
          <w:szCs w:val="48"/>
          <w:highlight w:val="none"/>
        </w:rPr>
        <w:t>目  录</w:t>
      </w:r>
    </w:p>
    <w:p>
      <w:pPr>
        <w:spacing w:line="550" w:lineRule="exact"/>
        <w:rPr>
          <w:rFonts w:hint="eastAsia" w:ascii="宋体" w:hAnsi="宋体"/>
          <w:b/>
          <w:color w:val="auto"/>
          <w:sz w:val="36"/>
          <w:szCs w:val="36"/>
          <w:highlight w:val="none"/>
        </w:rPr>
      </w:pPr>
      <w:r>
        <w:rPr>
          <w:rFonts w:hint="eastAsia" w:ascii="宋体" w:hAnsi="宋体"/>
          <w:b/>
          <w:color w:val="auto"/>
          <w:sz w:val="36"/>
          <w:szCs w:val="36"/>
          <w:highlight w:val="none"/>
        </w:rPr>
        <w:t xml:space="preserve">第一部分 </w:t>
      </w:r>
      <w:r>
        <w:rPr>
          <w:rFonts w:hint="eastAsia" w:ascii="宋体" w:hAnsi="宋体"/>
          <w:b/>
          <w:color w:val="auto"/>
          <w:sz w:val="36"/>
          <w:szCs w:val="36"/>
          <w:highlight w:val="none"/>
          <w:lang w:eastAsia="zh-CN"/>
        </w:rPr>
        <w:t>淮南市地方金融监督管理局</w:t>
      </w:r>
      <w:r>
        <w:rPr>
          <w:rFonts w:hint="eastAsia" w:ascii="宋体" w:hAnsi="宋体"/>
          <w:b/>
          <w:color w:val="auto"/>
          <w:sz w:val="36"/>
          <w:szCs w:val="36"/>
          <w:highlight w:val="none"/>
        </w:rPr>
        <w:t>概况</w:t>
      </w:r>
    </w:p>
    <w:p>
      <w:pPr>
        <w:numPr>
          <w:ilvl w:val="0"/>
          <w:numId w:val="0"/>
        </w:num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lang w:eastAsia="zh-CN"/>
        </w:rPr>
        <w:t>一、</w:t>
      </w:r>
      <w:r>
        <w:rPr>
          <w:rFonts w:hint="eastAsia" w:ascii="宋体" w:hAnsi="宋体"/>
          <w:bCs/>
          <w:color w:val="auto"/>
          <w:sz w:val="36"/>
          <w:szCs w:val="36"/>
          <w:highlight w:val="none"/>
        </w:rPr>
        <w:t>部门职责</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二、机构设置</w:t>
      </w:r>
    </w:p>
    <w:p>
      <w:pPr>
        <w:spacing w:line="550" w:lineRule="exact"/>
        <w:rPr>
          <w:rFonts w:hint="eastAsia" w:ascii="宋体" w:hAnsi="宋体"/>
          <w:b/>
          <w:color w:val="auto"/>
          <w:sz w:val="36"/>
          <w:szCs w:val="36"/>
          <w:highlight w:val="none"/>
        </w:rPr>
      </w:pPr>
      <w:r>
        <w:rPr>
          <w:rFonts w:hint="eastAsia" w:ascii="宋体" w:hAnsi="宋体"/>
          <w:b/>
          <w:color w:val="auto"/>
          <w:sz w:val="36"/>
          <w:szCs w:val="36"/>
          <w:highlight w:val="none"/>
        </w:rPr>
        <w:t xml:space="preserve">第二部分 </w:t>
      </w:r>
      <w:r>
        <w:rPr>
          <w:rFonts w:hint="eastAsia" w:ascii="宋体" w:hAnsi="宋体"/>
          <w:b/>
          <w:color w:val="auto"/>
          <w:sz w:val="36"/>
          <w:szCs w:val="36"/>
          <w:highlight w:val="none"/>
          <w:lang w:eastAsia="zh-CN"/>
        </w:rPr>
        <w:t>淮南市地方金融监督管理局2023</w:t>
      </w:r>
      <w:r>
        <w:rPr>
          <w:rFonts w:hint="eastAsia" w:ascii="宋体" w:hAnsi="宋体"/>
          <w:b/>
          <w:color w:val="auto"/>
          <w:sz w:val="36"/>
          <w:szCs w:val="36"/>
          <w:highlight w:val="none"/>
        </w:rPr>
        <w:t>年度部门决算表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w:t>
      </w:r>
      <w:r>
        <w:rPr>
          <w:rFonts w:hint="eastAsia" w:ascii="宋体" w:hAnsi="宋体"/>
          <w:bCs/>
          <w:color w:val="auto"/>
          <w:sz w:val="36"/>
          <w:szCs w:val="36"/>
          <w:highlight w:val="none"/>
          <w:u w:val="none"/>
          <w:lang w:eastAsia="zh-CN"/>
        </w:rPr>
        <w:t>明细</w:t>
      </w:r>
      <w:r>
        <w:rPr>
          <w:rFonts w:hint="eastAsia" w:ascii="宋体" w:hAnsi="宋体"/>
          <w:bCs/>
          <w:color w:val="auto"/>
          <w:sz w:val="36"/>
          <w:szCs w:val="36"/>
          <w:highlight w:val="none"/>
        </w:rPr>
        <w:t>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七、政府性基金预算财政拨款收入支出决算表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八、国有资本经营预算财政拨款支出决算表</w:t>
      </w:r>
    </w:p>
    <w:p>
      <w:pPr>
        <w:spacing w:line="550" w:lineRule="exact"/>
        <w:rPr>
          <w:rFonts w:hint="eastAsia" w:ascii="宋体" w:hAnsi="宋体"/>
          <w:b/>
          <w:color w:val="auto"/>
          <w:sz w:val="36"/>
          <w:szCs w:val="36"/>
          <w:highlight w:val="none"/>
        </w:rPr>
      </w:pPr>
      <w:r>
        <w:rPr>
          <w:rFonts w:hint="eastAsia" w:ascii="宋体" w:hAnsi="宋体"/>
          <w:b/>
          <w:color w:val="auto"/>
          <w:sz w:val="36"/>
          <w:szCs w:val="36"/>
          <w:highlight w:val="none"/>
        </w:rPr>
        <w:t xml:space="preserve">第三部分 </w:t>
      </w:r>
      <w:r>
        <w:rPr>
          <w:rFonts w:hint="eastAsia" w:ascii="宋体" w:hAnsi="宋体"/>
          <w:b/>
          <w:color w:val="auto"/>
          <w:sz w:val="36"/>
          <w:szCs w:val="36"/>
          <w:highlight w:val="none"/>
          <w:lang w:eastAsia="zh-CN"/>
        </w:rPr>
        <w:t>淮南市地方金融监督管理局2023</w:t>
      </w:r>
      <w:r>
        <w:rPr>
          <w:rFonts w:hint="eastAsia" w:ascii="宋体" w:hAnsi="宋体"/>
          <w:b/>
          <w:color w:val="auto"/>
          <w:sz w:val="36"/>
          <w:szCs w:val="36"/>
          <w:highlight w:val="none"/>
        </w:rPr>
        <w:t>年度</w:t>
      </w:r>
      <w:r>
        <w:rPr>
          <w:rFonts w:hint="eastAsia" w:ascii="宋体" w:hAnsi="宋体"/>
          <w:b/>
          <w:color w:val="auto"/>
          <w:sz w:val="36"/>
          <w:szCs w:val="36"/>
          <w:highlight w:val="none"/>
          <w:lang w:eastAsia="zh-CN"/>
        </w:rPr>
        <w:t>部门</w:t>
      </w:r>
      <w:r>
        <w:rPr>
          <w:rFonts w:hint="eastAsia" w:ascii="宋体" w:hAnsi="宋体"/>
          <w:b/>
          <w:color w:val="auto"/>
          <w:sz w:val="36"/>
          <w:szCs w:val="36"/>
          <w:highlight w:val="none"/>
        </w:rPr>
        <w:t>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一、收入支出决算总体情况说明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四、财政拨款收入支出决算总体情况说明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七、政府性基金</w:t>
      </w:r>
      <w:r>
        <w:rPr>
          <w:rFonts w:hint="eastAsia" w:ascii="宋体" w:hAnsi="宋体"/>
          <w:bCs/>
          <w:color w:val="auto"/>
          <w:sz w:val="36"/>
          <w:szCs w:val="36"/>
          <w:highlight w:val="none"/>
          <w:lang w:eastAsia="zh-CN"/>
        </w:rPr>
        <w:t>预算</w:t>
      </w:r>
      <w:r>
        <w:rPr>
          <w:rFonts w:hint="eastAsia" w:ascii="宋体" w:hAnsi="宋体"/>
          <w:bCs/>
          <w:color w:val="auto"/>
          <w:sz w:val="36"/>
          <w:szCs w:val="36"/>
          <w:highlight w:val="none"/>
        </w:rPr>
        <w:t>财政拨款收入支出决算情况说明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八、国有资本经营预算财政拨款支出决算情况说明</w:t>
      </w:r>
    </w:p>
    <w:p>
      <w:pPr>
        <w:spacing w:line="550" w:lineRule="exact"/>
        <w:rPr>
          <w:rFonts w:hint="eastAsia" w:ascii="宋体" w:hAnsi="宋体" w:eastAsia="仿宋_GB2312"/>
          <w:bCs/>
          <w:color w:val="auto"/>
          <w:sz w:val="36"/>
          <w:szCs w:val="36"/>
          <w:highlight w:val="none"/>
          <w:lang w:eastAsia="zh-CN"/>
        </w:rPr>
      </w:pPr>
      <w:r>
        <w:rPr>
          <w:rFonts w:hint="eastAsia" w:ascii="宋体" w:hAnsi="宋体"/>
          <w:bCs/>
          <w:color w:val="auto"/>
          <w:sz w:val="36"/>
          <w:szCs w:val="36"/>
          <w:highlight w:val="none"/>
        </w:rPr>
        <w:t>九、其他重要事项情况说明</w:t>
      </w:r>
      <w:r>
        <w:rPr>
          <w:rFonts w:hint="eastAsia" w:ascii="宋体" w:hAnsi="宋体"/>
          <w:bCs/>
          <w:color w:val="auto"/>
          <w:sz w:val="36"/>
          <w:szCs w:val="36"/>
          <w:highlight w:val="none"/>
          <w:lang w:eastAsia="zh-CN"/>
        </w:rPr>
        <w:t>（绩效自评）</w:t>
      </w:r>
    </w:p>
    <w:p>
      <w:pPr>
        <w:spacing w:line="550" w:lineRule="exact"/>
        <w:rPr>
          <w:rFonts w:hint="eastAsia" w:ascii="宋体" w:hAnsi="宋体"/>
          <w:b/>
          <w:color w:val="auto"/>
          <w:sz w:val="36"/>
          <w:szCs w:val="36"/>
          <w:highlight w:val="none"/>
        </w:rPr>
      </w:pPr>
      <w:r>
        <w:rPr>
          <w:rFonts w:hint="eastAsia" w:ascii="宋体" w:hAnsi="宋体"/>
          <w:b/>
          <w:color w:val="auto"/>
          <w:sz w:val="36"/>
          <w:szCs w:val="36"/>
          <w:highlight w:val="none"/>
        </w:rPr>
        <w:t>第四部分  名词解释</w:t>
      </w:r>
    </w:p>
    <w:p>
      <w:pPr>
        <w:spacing w:line="550" w:lineRule="exact"/>
        <w:rPr>
          <w:rFonts w:hint="eastAsia" w:ascii="宋体" w:hAnsi="宋体"/>
          <w:bCs/>
          <w:color w:val="auto"/>
          <w:sz w:val="36"/>
          <w:szCs w:val="36"/>
          <w:highlight w:val="none"/>
        </w:rPr>
      </w:pPr>
      <w:r>
        <w:rPr>
          <w:rFonts w:hint="eastAsia" w:ascii="宋体" w:hAnsi="宋体"/>
          <w:b/>
          <w:color w:val="auto"/>
          <w:sz w:val="36"/>
          <w:szCs w:val="36"/>
          <w:highlight w:val="none"/>
          <w:lang w:eastAsia="zh-CN"/>
        </w:rPr>
        <w:t>附件：</w:t>
      </w:r>
      <w:r>
        <w:rPr>
          <w:rFonts w:hint="eastAsia" w:ascii="宋体" w:hAnsi="宋体"/>
          <w:bCs/>
          <w:color w:val="auto"/>
          <w:sz w:val="36"/>
          <w:szCs w:val="36"/>
          <w:highlight w:val="none"/>
          <w:lang w:val="en-US" w:eastAsia="zh-CN"/>
        </w:rPr>
        <w:t>2023年度</w:t>
      </w:r>
      <w:r>
        <w:rPr>
          <w:rFonts w:hint="eastAsia" w:ascii="宋体" w:hAnsi="宋体"/>
          <w:bCs/>
          <w:color w:val="auto"/>
          <w:sz w:val="36"/>
          <w:szCs w:val="36"/>
          <w:highlight w:val="none"/>
          <w:lang w:eastAsia="zh-CN"/>
        </w:rPr>
        <w:t>项目支出绩效自评表及</w:t>
      </w:r>
      <w:r>
        <w:rPr>
          <w:rFonts w:hint="eastAsia" w:ascii="宋体" w:hAnsi="宋体"/>
          <w:bCs/>
          <w:color w:val="auto"/>
          <w:sz w:val="36"/>
          <w:szCs w:val="36"/>
          <w:highlight w:val="none"/>
          <w:lang w:val="en-US" w:eastAsia="zh-CN"/>
        </w:rPr>
        <w:t>财政支持金融发展专项经费项目绩效评价报告</w:t>
      </w:r>
    </w:p>
    <w:p>
      <w:pPr>
        <w:spacing w:line="550" w:lineRule="exact"/>
        <w:rPr>
          <w:rFonts w:hint="eastAsia" w:ascii="宋体" w:hAnsi="宋体"/>
          <w:bCs/>
          <w:color w:val="auto"/>
          <w:sz w:val="36"/>
          <w:szCs w:val="36"/>
          <w:highlight w:val="none"/>
        </w:rPr>
      </w:pPr>
    </w:p>
    <w:p>
      <w:pPr>
        <w:rPr>
          <w:rFonts w:hint="eastAsia" w:ascii="宋体" w:hAnsi="宋体"/>
          <w:b/>
          <w:color w:val="auto"/>
          <w:sz w:val="36"/>
          <w:szCs w:val="36"/>
          <w:highlight w:val="none"/>
        </w:rPr>
      </w:pPr>
    </w:p>
    <w:p>
      <w:pPr>
        <w:adjustRightInd w:val="0"/>
        <w:snapToGrid w:val="0"/>
        <w:spacing w:line="360" w:lineRule="auto"/>
        <w:jc w:val="center"/>
        <w:rPr>
          <w:rFonts w:hint="eastAsia" w:ascii="黑体" w:hAnsi="黑体" w:eastAsia="黑体" w:cs="Times New Roman"/>
          <w:color w:val="auto"/>
          <w:szCs w:val="32"/>
          <w:highlight w:val="none"/>
        </w:rPr>
      </w:pPr>
      <w:r>
        <w:rPr>
          <w:rFonts w:hint="eastAsia" w:ascii="黑体" w:hAnsi="黑体" w:eastAsia="黑体" w:cs="Times New Roman"/>
          <w:color w:val="auto"/>
          <w:szCs w:val="32"/>
          <w:highlight w:val="none"/>
        </w:rPr>
        <w:t xml:space="preserve">第一部分 </w:t>
      </w:r>
      <w:r>
        <w:rPr>
          <w:rFonts w:hint="eastAsia" w:ascii="黑体" w:hAnsi="黑体" w:eastAsia="黑体" w:cs="Times New Roman"/>
          <w:color w:val="auto"/>
          <w:szCs w:val="32"/>
          <w:highlight w:val="none"/>
          <w:lang w:eastAsia="zh-CN"/>
        </w:rPr>
        <w:t>淮南市地方金融监督管理局</w:t>
      </w:r>
      <w:r>
        <w:rPr>
          <w:rFonts w:hint="eastAsia" w:ascii="黑体" w:hAnsi="黑体" w:eastAsia="黑体" w:cs="Times New Roman"/>
          <w:color w:val="auto"/>
          <w:szCs w:val="32"/>
          <w:highlight w:val="none"/>
        </w:rPr>
        <w:t>概况</w:t>
      </w: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一、</w:t>
      </w:r>
      <w:r>
        <w:rPr>
          <w:rFonts w:hint="eastAsia" w:ascii="黑体" w:hAnsi="黑体" w:eastAsia="黑体"/>
          <w:color w:val="auto"/>
          <w:szCs w:val="32"/>
          <w:highlight w:val="none"/>
          <w:lang w:eastAsia="zh-CN"/>
        </w:rPr>
        <w:t>部门</w:t>
      </w:r>
      <w:r>
        <w:rPr>
          <w:rFonts w:hint="eastAsia" w:ascii="黑体" w:hAnsi="黑体" w:eastAsia="黑体"/>
          <w:color w:val="auto"/>
          <w:szCs w:val="32"/>
          <w:highlight w:val="none"/>
        </w:rPr>
        <w:t>职责</w:t>
      </w:r>
    </w:p>
    <w:p>
      <w:pPr>
        <w:pStyle w:val="2"/>
        <w:ind w:firstLine="628" w:firstLineChars="200"/>
        <w:jc w:val="both"/>
        <w:rPr>
          <w:rFonts w:hint="eastAsia"/>
          <w:color w:val="auto"/>
          <w:highlight w:val="none"/>
        </w:rPr>
      </w:pPr>
      <w:r>
        <w:rPr>
          <w:rFonts w:hint="eastAsia" w:ascii="仿宋_GB2312" w:hAnsi="仿宋" w:eastAsia="仿宋_GB2312" w:cs="Times New Roman"/>
          <w:color w:val="auto"/>
          <w:kern w:val="2"/>
          <w:sz w:val="32"/>
          <w:szCs w:val="32"/>
          <w:highlight w:val="none"/>
          <w:lang w:val="en-US" w:eastAsia="zh-CN" w:bidi="ar-SA"/>
        </w:rPr>
        <w:t>主要职责是贯彻执行党中央关于金融工作的方针政策和决策部署，落实省委、市委的工作要求，在履行职责过程中坚持和加强党对金融工作的集中统一领导。负责联系驻淮银行保险监管机构和银行业、保险业协会。联系银行业、保险业等金融机构，组织政府、企业与金融机构开展合作、对接，引导、协调和鼓励金融机构加大对全市经济社会发展的支持力度。负责推进全市多层次资本市场建设与发展，协调推进企业上市和重组、兼并、再融资工作，培育上市后备企业。负责会同有关部门防范和打击金融欺诈、非法集资、非法证券期货活动、非法交易场所、非法互联网金融活动等各类违法违规行为。配合推进金融信用体系建设。承担小额贷款公司、融资担保公司、地方资产管理公司、典当行、融资租赁公司、商业保理公司等机构的监督管理和相应的风险处置工作。承担有关行政审批事项的办理与组织协调工作。</w:t>
      </w: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二、机构设置</w:t>
      </w:r>
    </w:p>
    <w:p>
      <w:pPr>
        <w:ind w:firstLine="628" w:firstLineChars="200"/>
        <w:rPr>
          <w:rFonts w:hint="eastAsia"/>
          <w:color w:val="auto"/>
          <w:highlight w:val="none"/>
        </w:rPr>
      </w:pPr>
      <w:r>
        <w:rPr>
          <w:rFonts w:hint="eastAsia" w:ascii="仿宋_GB2312" w:hAnsi="仿宋"/>
          <w:color w:val="auto"/>
          <w:szCs w:val="32"/>
          <w:highlight w:val="none"/>
          <w:lang w:eastAsia="zh-CN"/>
        </w:rPr>
        <w:t>从决算</w:t>
      </w:r>
      <w:r>
        <w:rPr>
          <w:rFonts w:hint="eastAsia" w:ascii="仿宋_GB2312" w:hAnsi="仿宋" w:eastAsia="仿宋_GB2312"/>
          <w:color w:val="auto"/>
          <w:sz w:val="32"/>
          <w:szCs w:val="32"/>
          <w:highlight w:val="none"/>
        </w:rPr>
        <w:t>单位构成看，</w:t>
      </w:r>
      <w:r>
        <w:rPr>
          <w:rFonts w:hint="eastAsia" w:ascii="仿宋_GB2312" w:hAnsi="仿宋"/>
          <w:color w:val="auto"/>
          <w:sz w:val="32"/>
          <w:szCs w:val="32"/>
          <w:highlight w:val="none"/>
          <w:lang w:eastAsia="zh-CN"/>
        </w:rPr>
        <w:t>淮南市地方金融监督管理局2023</w:t>
      </w:r>
      <w:r>
        <w:rPr>
          <w:rFonts w:hint="eastAsia" w:ascii="仿宋_GB2312" w:hAnsi="仿宋" w:eastAsia="仿宋_GB2312"/>
          <w:color w:val="auto"/>
          <w:sz w:val="32"/>
          <w:szCs w:val="32"/>
          <w:highlight w:val="none"/>
        </w:rPr>
        <w:t>年度部门</w:t>
      </w:r>
      <w:r>
        <w:rPr>
          <w:rFonts w:hint="eastAsia" w:ascii="仿宋_GB2312" w:hAnsi="仿宋"/>
          <w:color w:val="auto"/>
          <w:szCs w:val="32"/>
          <w:highlight w:val="none"/>
          <w:lang w:eastAsia="zh-CN"/>
        </w:rPr>
        <w:t>决算</w:t>
      </w:r>
      <w:r>
        <w:rPr>
          <w:rFonts w:hint="eastAsia" w:ascii="仿宋_GB2312" w:hAnsi="仿宋" w:eastAsia="仿宋_GB2312"/>
          <w:color w:val="auto"/>
          <w:sz w:val="32"/>
          <w:szCs w:val="32"/>
          <w:highlight w:val="none"/>
        </w:rPr>
        <w:t>仅包括局本级</w:t>
      </w:r>
      <w:r>
        <w:rPr>
          <w:rFonts w:hint="eastAsia" w:ascii="仿宋_GB2312" w:hAnsi="仿宋"/>
          <w:color w:val="auto"/>
          <w:szCs w:val="32"/>
          <w:highlight w:val="none"/>
          <w:lang w:eastAsia="zh-CN"/>
        </w:rPr>
        <w:t>决算</w:t>
      </w:r>
      <w:r>
        <w:rPr>
          <w:rFonts w:hint="eastAsia" w:ascii="仿宋_GB2312" w:hAnsi="仿宋" w:eastAsia="仿宋_GB2312"/>
          <w:color w:val="auto"/>
          <w:sz w:val="32"/>
          <w:szCs w:val="32"/>
          <w:highlight w:val="none"/>
        </w:rPr>
        <w:t>，无其他下属单位</w:t>
      </w:r>
      <w:r>
        <w:rPr>
          <w:rFonts w:hint="eastAsia" w:ascii="仿宋_GB2312" w:hAnsi="仿宋"/>
          <w:color w:val="auto"/>
          <w:szCs w:val="32"/>
          <w:highlight w:val="none"/>
          <w:lang w:eastAsia="zh-CN"/>
        </w:rPr>
        <w:t>决算</w:t>
      </w:r>
      <w:r>
        <w:rPr>
          <w:rFonts w:hint="eastAsia" w:ascii="仿宋_GB2312" w:hAnsi="仿宋" w:eastAsia="仿宋_GB2312"/>
          <w:color w:val="auto"/>
          <w:sz w:val="32"/>
          <w:szCs w:val="32"/>
          <w:highlight w:val="none"/>
        </w:rPr>
        <w:t>。</w:t>
      </w: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 xml:space="preserve">第二部分 </w:t>
      </w:r>
      <w:r>
        <w:rPr>
          <w:rFonts w:hint="eastAsia" w:ascii="黑体" w:hAnsi="黑体" w:eastAsia="黑体"/>
          <w:color w:val="auto"/>
          <w:szCs w:val="32"/>
          <w:highlight w:val="none"/>
          <w:lang w:val="en-US" w:eastAsia="zh-CN"/>
        </w:rPr>
        <w:t>淮南市地方金融监督管理局</w:t>
      </w:r>
      <w:r>
        <w:rPr>
          <w:rFonts w:hint="eastAsia" w:ascii="黑体" w:hAnsi="黑体" w:eastAsia="黑体"/>
          <w:color w:val="auto"/>
          <w:szCs w:val="32"/>
          <w:highlight w:val="none"/>
          <w:lang w:eastAsia="zh-CN"/>
        </w:rPr>
        <w:t>2023</w:t>
      </w:r>
      <w:r>
        <w:rPr>
          <w:rFonts w:hint="eastAsia" w:ascii="黑体" w:hAnsi="黑体" w:eastAsia="黑体"/>
          <w:color w:val="auto"/>
          <w:szCs w:val="32"/>
          <w:highlight w:val="none"/>
        </w:rPr>
        <w:t>年度</w:t>
      </w:r>
      <w:r>
        <w:rPr>
          <w:rFonts w:hint="eastAsia" w:ascii="黑体" w:hAnsi="黑体" w:eastAsia="黑体"/>
          <w:color w:val="auto"/>
          <w:szCs w:val="32"/>
          <w:highlight w:val="none"/>
          <w:lang w:eastAsia="zh-CN"/>
        </w:rPr>
        <w:t>部门</w:t>
      </w:r>
      <w:r>
        <w:rPr>
          <w:rFonts w:hint="eastAsia" w:ascii="黑体" w:hAnsi="黑体" w:eastAsia="黑体"/>
          <w:color w:val="auto"/>
          <w:szCs w:val="32"/>
          <w:highlight w:val="none"/>
        </w:rPr>
        <w:t>决算表</w:t>
      </w:r>
    </w:p>
    <w:p>
      <w:pPr>
        <w:ind w:firstLine="628" w:firstLineChars="200"/>
        <w:rPr>
          <w:rFonts w:hint="eastAsia" w:ascii="黑体" w:hAnsi="黑体" w:eastAsia="黑体"/>
          <w:color w:val="auto"/>
          <w:szCs w:val="32"/>
          <w:highlight w:val="none"/>
        </w:rPr>
      </w:pPr>
    </w:p>
    <w:tbl>
      <w:tblPr>
        <w:tblStyle w:val="7"/>
        <w:tblW w:w="0" w:type="auto"/>
        <w:tblInd w:w="0" w:type="dxa"/>
        <w:tblLayout w:type="fixed"/>
        <w:tblCellMar>
          <w:top w:w="0" w:type="dxa"/>
          <w:left w:w="0" w:type="dxa"/>
          <w:bottom w:w="0" w:type="dxa"/>
          <w:right w:w="0" w:type="dxa"/>
        </w:tblCellMar>
      </w:tblPr>
      <w:tblGrid>
        <w:gridCol w:w="3435"/>
        <w:gridCol w:w="523"/>
        <w:gridCol w:w="677"/>
        <w:gridCol w:w="3283"/>
        <w:gridCol w:w="371"/>
        <w:gridCol w:w="764"/>
      </w:tblGrid>
      <w:tr>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pPr>
              <w:ind w:firstLine="588" w:firstLineChars="200"/>
              <w:jc w:val="center"/>
              <w:rPr>
                <w:rFonts w:hint="eastAsia" w:ascii="宋体" w:hAnsi="宋体" w:eastAsia="宋体" w:cs="宋体"/>
                <w:i w:val="0"/>
                <w:color w:val="auto"/>
                <w:sz w:val="30"/>
                <w:szCs w:val="30"/>
                <w:highlight w:val="none"/>
                <w:u w:val="none"/>
              </w:rPr>
            </w:pPr>
            <w:r>
              <w:rPr>
                <w:rFonts w:hint="eastAsia" w:ascii="宋体" w:hAnsi="宋体" w:eastAsia="宋体" w:cs="宋体"/>
                <w:i w:val="0"/>
                <w:color w:val="auto"/>
                <w:kern w:val="0"/>
                <w:sz w:val="30"/>
                <w:szCs w:val="30"/>
                <w:highlight w:val="none"/>
                <w:u w:val="none"/>
                <w:lang w:val="en-US" w:eastAsia="zh-CN" w:bidi="ar"/>
              </w:rPr>
              <w:t>收入支出决算总表</w:t>
            </w:r>
          </w:p>
        </w:tc>
      </w:tr>
      <w:tr>
        <w:tblPrEx>
          <w:tblCellMar>
            <w:top w:w="0" w:type="dxa"/>
            <w:left w:w="0" w:type="dxa"/>
            <w:bottom w:w="0" w:type="dxa"/>
            <w:right w:w="0" w:type="dxa"/>
          </w:tblCellMar>
        </w:tblPrEx>
        <w:trPr>
          <w:trHeight w:val="264" w:hRule="atLeast"/>
        </w:trPr>
        <w:tc>
          <w:tcPr>
            <w:tcW w:w="343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5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64"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公开01表</w:t>
            </w:r>
          </w:p>
        </w:tc>
      </w:tr>
      <w:tr>
        <w:tblPrEx>
          <w:tblCellMar>
            <w:top w:w="0" w:type="dxa"/>
            <w:left w:w="0" w:type="dxa"/>
            <w:bottom w:w="0" w:type="dxa"/>
            <w:right w:w="0" w:type="dxa"/>
          </w:tblCellMar>
        </w:tblPrEx>
        <w:trPr>
          <w:trHeight w:val="264" w:hRule="atLeast"/>
        </w:trPr>
        <w:tc>
          <w:tcPr>
            <w:tcW w:w="3435"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部门：市金融局</w:t>
            </w:r>
          </w:p>
        </w:tc>
        <w:tc>
          <w:tcPr>
            <w:tcW w:w="5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3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支出</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金额</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四、上级补助收入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五、事业收入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六、经营收入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七、附属单位上缴收入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八、其他收入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使用非财政拨款结余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年初结转和结余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52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67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r>
      <w:tr>
        <w:tblPrEx>
          <w:tblCellMar>
            <w:top w:w="0" w:type="dxa"/>
            <w:left w:w="0" w:type="dxa"/>
            <w:bottom w:w="0" w:type="dxa"/>
            <w:right w:w="0" w:type="dxa"/>
          </w:tblCellMar>
        </w:tblPrEx>
        <w:trPr>
          <w:trHeight w:val="235" w:hRule="atLeast"/>
        </w:trPr>
        <w:tc>
          <w:tcPr>
            <w:tcW w:w="9053"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0"/>
                <w:szCs w:val="20"/>
                <w:highlight w:val="none"/>
                <w:u w:val="none"/>
                <w:lang w:val="en-US" w:eastAsia="zh-CN" w:bidi="ar"/>
              </w:rPr>
              <w:t>注：本表反映部门本年度的总收支和年末结转结余情况；本套报表金额单位转换成万元时，因四舍五入可能存在尾数误差。</w:t>
            </w:r>
          </w:p>
        </w:tc>
      </w:tr>
    </w:tbl>
    <w:p>
      <w:pPr>
        <w:ind w:firstLine="628" w:firstLineChars="200"/>
        <w:jc w:val="center"/>
        <w:rPr>
          <w:rFonts w:hint="eastAsia" w:ascii="黑体" w:hAnsi="黑体" w:eastAsia="黑体"/>
          <w:color w:val="auto"/>
          <w:szCs w:val="32"/>
          <w:highlight w:val="none"/>
        </w:rPr>
      </w:pPr>
    </w:p>
    <w:p>
      <w:pPr>
        <w:ind w:firstLine="628" w:firstLineChars="200"/>
        <w:jc w:val="center"/>
        <w:rPr>
          <w:rFonts w:hint="eastAsia" w:ascii="黑体" w:hAnsi="黑体" w:eastAsia="黑体"/>
          <w:color w:val="auto"/>
          <w:szCs w:val="32"/>
          <w:highlight w:val="none"/>
        </w:rPr>
      </w:pPr>
      <w:r>
        <w:rPr>
          <w:rFonts w:hint="eastAsia" w:ascii="黑体" w:hAnsi="黑体" w:eastAsia="黑体"/>
          <w:color w:val="auto"/>
          <w:szCs w:val="32"/>
          <w:highlight w:val="none"/>
        </w:rPr>
        <w:t>收入决算表</w:t>
      </w:r>
    </w:p>
    <w:tbl>
      <w:tblPr>
        <w:tblStyle w:val="7"/>
        <w:tblW w:w="11394" w:type="dxa"/>
        <w:tblInd w:w="0" w:type="dxa"/>
        <w:tblLayout w:type="fixed"/>
        <w:tblCellMar>
          <w:top w:w="0" w:type="dxa"/>
          <w:left w:w="0" w:type="dxa"/>
          <w:bottom w:w="0" w:type="dxa"/>
          <w:right w:w="0" w:type="dxa"/>
        </w:tblCellMar>
      </w:tblPr>
      <w:tblGrid>
        <w:gridCol w:w="400"/>
        <w:gridCol w:w="80"/>
        <w:gridCol w:w="313"/>
        <w:gridCol w:w="77"/>
        <w:gridCol w:w="240"/>
        <w:gridCol w:w="950"/>
        <w:gridCol w:w="960"/>
        <w:gridCol w:w="955"/>
        <w:gridCol w:w="832"/>
        <w:gridCol w:w="736"/>
        <w:gridCol w:w="292"/>
        <w:gridCol w:w="595"/>
        <w:gridCol w:w="818"/>
        <w:gridCol w:w="804"/>
        <w:gridCol w:w="1078"/>
        <w:gridCol w:w="2264"/>
      </w:tblGrid>
      <w:tr>
        <w:tblPrEx>
          <w:tblCellMar>
            <w:top w:w="0" w:type="dxa"/>
            <w:left w:w="0" w:type="dxa"/>
            <w:bottom w:w="0" w:type="dxa"/>
            <w:right w:w="0" w:type="dxa"/>
          </w:tblCellMar>
        </w:tblPrEx>
        <w:trPr>
          <w:gridAfter w:val="1"/>
          <w:wAfter w:w="2264" w:type="dxa"/>
          <w:trHeight w:val="264" w:hRule="atLeast"/>
        </w:trPr>
        <w:tc>
          <w:tcPr>
            <w:tcW w:w="48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highlight w:val="none"/>
                <w:lang w:val="en-US" w:eastAsia="zh-CN"/>
              </w:rPr>
            </w:pPr>
          </w:p>
        </w:tc>
        <w:tc>
          <w:tcPr>
            <w:tcW w:w="390"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6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公开02表</w:t>
            </w:r>
          </w:p>
        </w:tc>
      </w:tr>
      <w:tr>
        <w:tblPrEx>
          <w:tblCellMar>
            <w:top w:w="0" w:type="dxa"/>
            <w:left w:w="0" w:type="dxa"/>
            <w:bottom w:w="0" w:type="dxa"/>
            <w:right w:w="0" w:type="dxa"/>
          </w:tblCellMar>
        </w:tblPrEx>
        <w:trPr>
          <w:gridAfter w:val="1"/>
          <w:wAfter w:w="2264" w:type="dxa"/>
          <w:trHeight w:val="264" w:hRule="atLeast"/>
        </w:trPr>
        <w:tc>
          <w:tcPr>
            <w:tcW w:w="48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部门：</w:t>
            </w:r>
          </w:p>
        </w:tc>
        <w:tc>
          <w:tcPr>
            <w:tcW w:w="1580" w:type="dxa"/>
            <w:gridSpan w:val="4"/>
            <w:tcBorders>
              <w:top w:val="nil"/>
              <w:left w:val="nil"/>
              <w:bottom w:val="nil"/>
              <w:right w:val="nil"/>
            </w:tcBorders>
            <w:noWrap w:val="0"/>
            <w:tcMar>
              <w:top w:w="12" w:type="dxa"/>
              <w:left w:w="12" w:type="dxa"/>
              <w:right w:w="12" w:type="dxa"/>
            </w:tcMar>
            <w:vAlign w:val="bottom"/>
          </w:tcPr>
          <w:p>
            <w:pPr>
              <w:rPr>
                <w:rFonts w:hint="eastAsia" w:ascii="Arial" w:hAnsi="Arial" w:eastAsia="仿宋_GB2312" w:cs="Arial"/>
                <w:i w:val="0"/>
                <w:color w:val="auto"/>
                <w:sz w:val="20"/>
                <w:szCs w:val="20"/>
                <w:highlight w:val="none"/>
                <w:u w:val="none"/>
                <w:lang w:eastAsia="zh-CN"/>
              </w:rPr>
            </w:pPr>
            <w:r>
              <w:rPr>
                <w:rFonts w:hint="eastAsia" w:ascii="Arial" w:hAnsi="Arial" w:cs="Arial"/>
                <w:i w:val="0"/>
                <w:color w:val="auto"/>
                <w:sz w:val="20"/>
                <w:szCs w:val="20"/>
                <w:highlight w:val="none"/>
                <w:u w:val="none"/>
                <w:lang w:eastAsia="zh-CN"/>
              </w:rPr>
              <w:t>市金融局</w:t>
            </w:r>
          </w:p>
        </w:tc>
        <w:tc>
          <w:tcPr>
            <w:tcW w:w="96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gridAfter w:val="1"/>
          <w:wAfter w:w="2264" w:type="dxa"/>
          <w:trHeight w:val="235" w:hRule="atLeast"/>
        </w:trPr>
        <w:tc>
          <w:tcPr>
            <w:tcW w:w="1110"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科目代码</w:t>
            </w:r>
          </w:p>
        </w:tc>
        <w:tc>
          <w:tcPr>
            <w:tcW w:w="9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科目名称</w:t>
            </w:r>
          </w:p>
        </w:tc>
        <w:tc>
          <w:tcPr>
            <w:tcW w:w="96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本年收入合计</w:t>
            </w:r>
          </w:p>
        </w:tc>
        <w:tc>
          <w:tcPr>
            <w:tcW w:w="9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财政拨款收入</w:t>
            </w:r>
          </w:p>
        </w:tc>
        <w:tc>
          <w:tcPr>
            <w:tcW w:w="83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其他收入</w:t>
            </w:r>
          </w:p>
        </w:tc>
      </w:tr>
      <w:tr>
        <w:tblPrEx>
          <w:tblCellMar>
            <w:top w:w="0" w:type="dxa"/>
            <w:left w:w="0" w:type="dxa"/>
            <w:bottom w:w="0" w:type="dxa"/>
            <w:right w:w="0" w:type="dxa"/>
          </w:tblCellMar>
        </w:tblPrEx>
        <w:trPr>
          <w:gridAfter w:val="1"/>
          <w:wAfter w:w="2264" w:type="dxa"/>
          <w:trHeight w:val="235" w:hRule="atLeast"/>
        </w:trPr>
        <w:tc>
          <w:tcPr>
            <w:tcW w:w="111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i w:val="0"/>
                <w:color w:val="auto"/>
                <w:sz w:val="20"/>
                <w:szCs w:val="20"/>
                <w:highlight w:val="none"/>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gridAfter w:val="1"/>
          <w:wAfter w:w="2264" w:type="dxa"/>
          <w:trHeight w:val="235" w:hRule="atLeast"/>
        </w:trPr>
        <w:tc>
          <w:tcPr>
            <w:tcW w:w="111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i w:val="0"/>
                <w:color w:val="auto"/>
                <w:sz w:val="20"/>
                <w:szCs w:val="20"/>
                <w:highlight w:val="none"/>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gridAfter w:val="1"/>
          <w:wAfter w:w="2264" w:type="dxa"/>
          <w:trHeight w:val="235" w:hRule="atLeast"/>
        </w:trPr>
        <w:tc>
          <w:tcPr>
            <w:tcW w:w="111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i w:val="0"/>
                <w:color w:val="auto"/>
                <w:sz w:val="20"/>
                <w:szCs w:val="20"/>
                <w:highlight w:val="none"/>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gridAfter w:val="1"/>
          <w:wAfter w:w="2264" w:type="dxa"/>
          <w:trHeight w:val="235"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w:t>
            </w:r>
          </w:p>
        </w:tc>
        <w:tc>
          <w:tcPr>
            <w:tcW w:w="31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栏次</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p>
        </w:tc>
      </w:tr>
      <w:tr>
        <w:tblPrEx>
          <w:tblCellMar>
            <w:top w:w="0" w:type="dxa"/>
            <w:left w:w="0" w:type="dxa"/>
            <w:bottom w:w="0" w:type="dxa"/>
            <w:right w:w="0" w:type="dxa"/>
          </w:tblCellMar>
        </w:tblPrEx>
        <w:trPr>
          <w:gridAfter w:val="1"/>
          <w:wAfter w:w="2264" w:type="dxa"/>
          <w:trHeight w:val="235"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31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合计</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1,847.86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1,847.86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90"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一般公共服务支出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20103</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政府办公厅（室）及相关机构事务</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2010399</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其他政府办公厅（室）及相关机构事务支出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行政单位离退休</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机关事业单位基本养老保险缴费支出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机关事业单位职业年金缴费支出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行政单位医疗</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金融支出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金融部门行政支出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2170101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行政运行</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21702</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金融部门监管支出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2170206</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金融行业电子化建设</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21703</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金融发展支出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2170399</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其他金融发展支出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住房公积金</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gridAfter w:val="1"/>
          <w:wAfter w:w="2264" w:type="dxa"/>
          <w:trHeight w:val="235" w:hRule="atLeast"/>
        </w:trPr>
        <w:tc>
          <w:tcPr>
            <w:tcW w:w="111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tbl>
            <w:tblPr>
              <w:tblStyle w:val="7"/>
              <w:tblW w:w="0" w:type="auto"/>
              <w:tblInd w:w="-15" w:type="dxa"/>
              <w:tblLayout w:type="fixed"/>
              <w:tblCellMar>
                <w:top w:w="0" w:type="dxa"/>
                <w:left w:w="0" w:type="dxa"/>
                <w:bottom w:w="0" w:type="dxa"/>
                <w:right w:w="0" w:type="dxa"/>
              </w:tblCellMar>
            </w:tblPr>
            <w:tblGrid>
              <w:gridCol w:w="1200"/>
              <w:gridCol w:w="3930"/>
            </w:tblGrid>
            <w:tr>
              <w:tblPrEx>
                <w:tblCellMar>
                  <w:top w:w="0" w:type="dxa"/>
                  <w:left w:w="0" w:type="dxa"/>
                  <w:bottom w:w="0" w:type="dxa"/>
                  <w:right w:w="0" w:type="dxa"/>
                </w:tblCellMar>
              </w:tblPrEx>
              <w:trPr>
                <w:trHeight w:val="300" w:hRule="atLeast"/>
              </w:trPr>
              <w:tc>
                <w:tcPr>
                  <w:tcW w:w="12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2210202</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提租补贴</w:t>
                  </w:r>
                </w:p>
              </w:tc>
            </w:tr>
          </w:tbl>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9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提租补贴</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88" w:hRule="atLeast"/>
        </w:trPr>
        <w:tc>
          <w:tcPr>
            <w:tcW w:w="11394"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r>
    </w:tbl>
    <w:p>
      <w:pPr>
        <w:rPr>
          <w:rFonts w:hint="eastAsia" w:ascii="黑体" w:hAnsi="黑体" w:eastAsia="黑体"/>
          <w:color w:val="auto"/>
          <w:szCs w:val="32"/>
          <w:highlight w:val="none"/>
        </w:rPr>
      </w:pPr>
    </w:p>
    <w:p>
      <w:pPr>
        <w:ind w:firstLine="628" w:firstLineChars="200"/>
        <w:jc w:val="center"/>
        <w:rPr>
          <w:rFonts w:hint="eastAsia" w:ascii="黑体" w:hAnsi="黑体" w:eastAsia="黑体"/>
          <w:color w:val="auto"/>
          <w:szCs w:val="32"/>
          <w:highlight w:val="none"/>
        </w:rPr>
      </w:pPr>
      <w:r>
        <w:rPr>
          <w:rFonts w:hint="eastAsia" w:ascii="黑体" w:hAnsi="黑体" w:eastAsia="黑体"/>
          <w:color w:val="auto"/>
          <w:szCs w:val="32"/>
          <w:highlight w:val="none"/>
        </w:rPr>
        <w:t>支出决算表</w:t>
      </w:r>
    </w:p>
    <w:tbl>
      <w:tblPr>
        <w:tblStyle w:val="7"/>
        <w:tblW w:w="0" w:type="auto"/>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公开03表</w:t>
            </w:r>
          </w:p>
        </w:tc>
      </w:tr>
      <w:tr>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部门</w:t>
            </w:r>
            <w:r>
              <w:rPr>
                <w:rFonts w:hint="eastAsia" w:ascii="仿宋_GB2312" w:hAnsi="仿宋_GB2312" w:eastAsia="仿宋_GB2312" w:cs="仿宋_GB2312"/>
                <w:b w:val="0"/>
                <w:bCs/>
                <w:color w:val="auto"/>
                <w:sz w:val="21"/>
                <w:szCs w:val="21"/>
                <w:highlight w:val="none"/>
                <w:lang w:val="en-US" w:eastAsia="zh-CN"/>
              </w:rPr>
              <w:t>：</w:t>
            </w:r>
          </w:p>
        </w:tc>
        <w:tc>
          <w:tcPr>
            <w:tcW w:w="1568" w:type="dxa"/>
            <w:gridSpan w:val="4"/>
            <w:tcBorders>
              <w:top w:val="nil"/>
              <w:left w:val="nil"/>
              <w:bottom w:val="nil"/>
              <w:right w:val="nil"/>
            </w:tcBorders>
            <w:noWrap w:val="0"/>
            <w:tcMar>
              <w:top w:w="12" w:type="dxa"/>
              <w:left w:w="12" w:type="dxa"/>
              <w:right w:w="12" w:type="dxa"/>
            </w:tcMar>
            <w:vAlign w:val="bottom"/>
          </w:tcPr>
          <w:p>
            <w:pPr>
              <w:rPr>
                <w:rFonts w:hint="eastAsia" w:ascii="Arial" w:hAnsi="Arial" w:eastAsia="仿宋_GB2312" w:cs="Arial"/>
                <w:i w:val="0"/>
                <w:color w:val="auto"/>
                <w:sz w:val="20"/>
                <w:szCs w:val="20"/>
                <w:highlight w:val="none"/>
                <w:u w:val="none"/>
                <w:lang w:eastAsia="zh-CN"/>
              </w:rPr>
            </w:pPr>
            <w:r>
              <w:rPr>
                <w:rFonts w:hint="eastAsia" w:ascii="Arial" w:hAnsi="Arial" w:cs="Arial"/>
                <w:i w:val="0"/>
                <w:color w:val="auto"/>
                <w:sz w:val="20"/>
                <w:szCs w:val="20"/>
                <w:highlight w:val="none"/>
                <w:u w:val="none"/>
                <w:lang w:eastAsia="zh-CN"/>
              </w:rPr>
              <w:t>市金融局</w:t>
            </w: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r>
      <w:tr>
        <w:tblPrEx>
          <w:tblCellMar>
            <w:top w:w="0" w:type="dxa"/>
            <w:left w:w="0" w:type="dxa"/>
            <w:bottom w:w="0" w:type="dxa"/>
            <w:right w:w="0" w:type="dxa"/>
          </w:tblCellMar>
        </w:tblPrEx>
        <w:trPr>
          <w:trHeight w:val="235"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1,847.86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253.78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1,594.08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一般公共服务支出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20103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政府办公厅（室）及相关机构事务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2010399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其他政府办公厅（室）及相关机构事务支出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1,538.00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金融部门行政支出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金融部门监管支出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2170206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金融行业电子化建设</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金融发展支出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2170399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其他金融发展支出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提租补贴</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0"/>
                <w:szCs w:val="20"/>
                <w:highlight w:val="none"/>
                <w:u w:val="none"/>
                <w:lang w:val="en-US" w:eastAsia="zh-CN" w:bidi="ar"/>
              </w:rPr>
              <w:t>注：本表反映部门本年度各项支出情况。</w:t>
            </w:r>
          </w:p>
        </w:tc>
      </w:tr>
    </w:tbl>
    <w:p>
      <w:pPr>
        <w:rPr>
          <w:rFonts w:hint="eastAsia" w:ascii="黑体" w:hAnsi="黑体" w:eastAsia="黑体"/>
          <w:color w:val="auto"/>
          <w:szCs w:val="32"/>
          <w:highlight w:val="none"/>
        </w:rPr>
      </w:pPr>
    </w:p>
    <w:p>
      <w:pPr>
        <w:ind w:firstLine="628" w:firstLineChars="200"/>
        <w:jc w:val="center"/>
        <w:rPr>
          <w:rFonts w:hint="eastAsia" w:ascii="黑体" w:hAnsi="黑体" w:eastAsia="黑体"/>
          <w:color w:val="auto"/>
          <w:szCs w:val="32"/>
          <w:highlight w:val="none"/>
        </w:rPr>
      </w:pPr>
      <w:r>
        <w:rPr>
          <w:rFonts w:hint="eastAsia" w:ascii="黑体" w:hAnsi="黑体" w:eastAsia="黑体"/>
          <w:color w:val="auto"/>
          <w:szCs w:val="32"/>
          <w:highlight w:val="none"/>
        </w:rPr>
        <w:t>财政拨款收入支出决算总表</w:t>
      </w:r>
    </w:p>
    <w:tbl>
      <w:tblPr>
        <w:tblStyle w:val="7"/>
        <w:tblW w:w="0" w:type="auto"/>
        <w:tblInd w:w="0" w:type="dxa"/>
        <w:tblLayout w:type="fixed"/>
        <w:tblCellMar>
          <w:top w:w="0" w:type="dxa"/>
          <w:left w:w="0" w:type="dxa"/>
          <w:bottom w:w="0" w:type="dxa"/>
          <w:right w:w="0" w:type="dxa"/>
        </w:tblCellMar>
      </w:tblPr>
      <w:tblGrid>
        <w:gridCol w:w="1939"/>
        <w:gridCol w:w="447"/>
        <w:gridCol w:w="579"/>
        <w:gridCol w:w="2618"/>
        <w:gridCol w:w="403"/>
        <w:gridCol w:w="720"/>
        <w:gridCol w:w="787"/>
        <w:gridCol w:w="152"/>
        <w:gridCol w:w="271"/>
        <w:gridCol w:w="382"/>
        <w:gridCol w:w="722"/>
      </w:tblGrid>
      <w:tr>
        <w:tblPrEx>
          <w:tblCellMar>
            <w:top w:w="0" w:type="dxa"/>
            <w:left w:w="0" w:type="dxa"/>
            <w:bottom w:w="0" w:type="dxa"/>
            <w:right w:w="0" w:type="dxa"/>
          </w:tblCellMar>
        </w:tblPrEx>
        <w:trPr>
          <w:trHeight w:val="264"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6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公开04表</w:t>
            </w:r>
          </w:p>
        </w:tc>
      </w:tr>
      <w:tr>
        <w:tblPrEx>
          <w:tblCellMar>
            <w:top w:w="0" w:type="dxa"/>
            <w:left w:w="0" w:type="dxa"/>
            <w:bottom w:w="0" w:type="dxa"/>
            <w:right w:w="0" w:type="dxa"/>
          </w:tblCellMar>
        </w:tblPrEx>
        <w:trPr>
          <w:trHeight w:val="264" w:hRule="atLeast"/>
        </w:trPr>
        <w:tc>
          <w:tcPr>
            <w:tcW w:w="1939"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highlight w:val="none"/>
                <w:u w:val="none"/>
                <w:lang w:val="en-US" w:eastAsia="zh-CN" w:bidi="ar"/>
              </w:rPr>
              <w:t>部门：市金融局</w:t>
            </w: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6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trHeight w:val="235" w:hRule="atLeast"/>
        </w:trPr>
        <w:tc>
          <w:tcPr>
            <w:tcW w:w="296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     出</w:t>
            </w:r>
          </w:p>
        </w:tc>
      </w:tr>
      <w:tr>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行次</w:t>
            </w:r>
          </w:p>
        </w:tc>
        <w:tc>
          <w:tcPr>
            <w:tcW w:w="57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金额</w:t>
            </w:r>
          </w:p>
        </w:tc>
        <w:tc>
          <w:tcPr>
            <w:tcW w:w="26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国有资本经营预算财政拨款</w:t>
            </w:r>
          </w:p>
        </w:tc>
      </w:tr>
      <w:tr>
        <w:tblPrEx>
          <w:tblCellMar>
            <w:top w:w="0" w:type="dxa"/>
            <w:left w:w="0" w:type="dxa"/>
            <w:bottom w:w="0" w:type="dxa"/>
            <w:right w:w="0" w:type="dxa"/>
          </w:tblCellMar>
        </w:tblPrEx>
        <w:trPr>
          <w:trHeight w:val="471"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26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highlight w:val="none"/>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579"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261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1,847.86</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9020"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jc w:val="both"/>
        <w:rPr>
          <w:rFonts w:hint="eastAsia" w:ascii="黑体" w:hAnsi="黑体" w:eastAsia="黑体"/>
          <w:color w:val="auto"/>
          <w:szCs w:val="32"/>
          <w:highlight w:val="none"/>
        </w:rPr>
      </w:pPr>
    </w:p>
    <w:p>
      <w:pPr>
        <w:ind w:firstLine="628" w:firstLineChars="200"/>
        <w:jc w:val="center"/>
        <w:rPr>
          <w:rFonts w:hint="eastAsia" w:ascii="黑体" w:hAnsi="黑体" w:eastAsia="黑体"/>
          <w:color w:val="auto"/>
          <w:szCs w:val="32"/>
          <w:highlight w:val="none"/>
        </w:rPr>
      </w:pPr>
      <w:r>
        <w:rPr>
          <w:rFonts w:hint="eastAsia" w:ascii="黑体" w:hAnsi="黑体" w:eastAsia="黑体"/>
          <w:color w:val="auto"/>
          <w:szCs w:val="32"/>
          <w:highlight w:val="none"/>
        </w:rPr>
        <w:t>一般公共预算财政拨款支出决算表</w:t>
      </w:r>
    </w:p>
    <w:tbl>
      <w:tblPr>
        <w:tblStyle w:val="7"/>
        <w:tblW w:w="0" w:type="auto"/>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259"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公开05表</w:t>
            </w:r>
          </w:p>
        </w:tc>
      </w:tr>
      <w:tr>
        <w:tblPrEx>
          <w:tblCellMar>
            <w:top w:w="0" w:type="dxa"/>
            <w:left w:w="0" w:type="dxa"/>
            <w:bottom w:w="0" w:type="dxa"/>
            <w:right w:w="0" w:type="dxa"/>
          </w:tblCellMar>
        </w:tblPrEx>
        <w:trPr>
          <w:trHeight w:val="259" w:hRule="atLeast"/>
        </w:trPr>
        <w:tc>
          <w:tcPr>
            <w:tcW w:w="3278" w:type="dxa"/>
            <w:gridSpan w:val="5"/>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部门：市金融局</w:t>
            </w: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trHeight w:val="28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r>
      <w:tr>
        <w:tblPrEx>
          <w:tblCellMar>
            <w:top w:w="0" w:type="dxa"/>
            <w:left w:w="0" w:type="dxa"/>
            <w:bottom w:w="0" w:type="dxa"/>
            <w:right w:w="0" w:type="dxa"/>
          </w:tblCellMar>
        </w:tblPrEx>
        <w:trPr>
          <w:trHeight w:val="289"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1,847.86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253.78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1,594.08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一般公共服务支出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20103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政府办公厅（室）及相关机构事务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2010399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其他政府办公厅（室）及相关机构事务支出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56.08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1,713.61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1,538.00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金融部门行政支出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金融部门监管支出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2170206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金融行业电子化建设</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金融发展支出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2170399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其他金融发展支出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1,510.00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提租补贴</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9"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0"/>
                <w:szCs w:val="20"/>
                <w:highlight w:val="none"/>
                <w:u w:val="none"/>
                <w:lang w:val="en-US" w:eastAsia="zh-CN" w:bidi="ar"/>
              </w:rPr>
              <w:t>注：本表反映部门本年度一般公共预算财政拨款支出情况。</w:t>
            </w:r>
          </w:p>
        </w:tc>
      </w:tr>
    </w:tbl>
    <w:p>
      <w:pPr>
        <w:rPr>
          <w:rFonts w:hint="eastAsia" w:ascii="黑体" w:hAnsi="黑体" w:eastAsia="黑体"/>
          <w:color w:val="auto"/>
          <w:szCs w:val="32"/>
          <w:highlight w:val="none"/>
        </w:rPr>
      </w:pPr>
    </w:p>
    <w:p>
      <w:pPr>
        <w:ind w:firstLine="628" w:firstLineChars="200"/>
        <w:jc w:val="center"/>
        <w:rPr>
          <w:rFonts w:hint="eastAsia" w:ascii="黑体" w:hAnsi="黑体" w:eastAsia="黑体"/>
          <w:color w:val="auto"/>
          <w:szCs w:val="32"/>
          <w:highlight w:val="none"/>
        </w:rPr>
      </w:pPr>
      <w:r>
        <w:rPr>
          <w:rFonts w:hint="eastAsia" w:ascii="黑体" w:hAnsi="黑体" w:eastAsia="黑体"/>
          <w:color w:val="auto"/>
          <w:szCs w:val="32"/>
          <w:highlight w:val="none"/>
        </w:rPr>
        <w:t>一般公共预算财政拨款基本支出决算</w:t>
      </w:r>
      <w:r>
        <w:rPr>
          <w:rFonts w:hint="eastAsia" w:ascii="黑体" w:hAnsi="黑体" w:eastAsia="黑体"/>
          <w:color w:val="auto"/>
          <w:szCs w:val="32"/>
          <w:highlight w:val="none"/>
          <w:lang w:eastAsia="zh-CN"/>
        </w:rPr>
        <w:t>明细</w:t>
      </w:r>
      <w:r>
        <w:rPr>
          <w:rFonts w:hint="eastAsia" w:ascii="黑体" w:hAnsi="黑体" w:eastAsia="黑体"/>
          <w:color w:val="auto"/>
          <w:szCs w:val="32"/>
          <w:highlight w:val="none"/>
        </w:rPr>
        <w:t>表</w:t>
      </w:r>
    </w:p>
    <w:tbl>
      <w:tblPr>
        <w:tblStyle w:val="7"/>
        <w:tblW w:w="0" w:type="auto"/>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9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5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公开06表</w:t>
            </w:r>
          </w:p>
        </w:tc>
      </w:tr>
      <w:tr>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w:t>
            </w: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42"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金额单位：万元</w:t>
            </w:r>
          </w:p>
        </w:tc>
      </w:tr>
      <w:tr>
        <w:tblPrEx>
          <w:tblCellMar>
            <w:top w:w="0" w:type="dxa"/>
            <w:left w:w="0" w:type="dxa"/>
            <w:bottom w:w="0" w:type="dxa"/>
            <w:right w:w="0" w:type="dxa"/>
          </w:tblCellMar>
        </w:tblPrEx>
        <w:trPr>
          <w:trHeight w:val="235"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公用经费</w:t>
            </w:r>
          </w:p>
        </w:tc>
      </w:tr>
      <w:tr>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科目代码</w:t>
            </w:r>
          </w:p>
        </w:tc>
        <w:tc>
          <w:tcPr>
            <w:tcW w:w="1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54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科目代码</w:t>
            </w:r>
          </w:p>
        </w:tc>
        <w:tc>
          <w:tcPr>
            <w:tcW w:w="1957"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r>
      <w:tr>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54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957"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224.58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21.52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30703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62.62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0.56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30704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41.02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45.61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26.95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13.69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31006</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6.37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30112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0.19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30113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17.89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30114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31011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7.39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7.68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31013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31019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5.67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0.30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31021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31022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50"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31099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30305</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31201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0.44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31203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6.59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31204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1.31</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31205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31299 </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9.81</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0.45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highlight w:val="none"/>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highlight w:val="none"/>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0.50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highlight w:val="none"/>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highlight w:val="none"/>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highlight w:val="none"/>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highlight w:val="none"/>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3"/>
                <w:szCs w:val="13"/>
                <w:highlight w:val="none"/>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highlight w:val="none"/>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0.00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39999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18"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22"/>
                <w:szCs w:val="22"/>
                <w:highlight w:val="none"/>
                <w:u w:val="none"/>
                <w:lang w:val="en-US" w:eastAsia="zh-CN" w:bidi="ar"/>
              </w:rPr>
              <w:t>232.26</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22"/>
                <w:szCs w:val="22"/>
                <w:highlight w:val="none"/>
                <w:u w:val="none"/>
                <w:lang w:val="en-US" w:eastAsia="zh-CN" w:bidi="ar"/>
              </w:rPr>
              <w:t>21.52</w:t>
            </w:r>
          </w:p>
        </w:tc>
      </w:tr>
      <w:tr>
        <w:tblPrEx>
          <w:tblCellMar>
            <w:top w:w="0" w:type="dxa"/>
            <w:left w:w="0" w:type="dxa"/>
            <w:bottom w:w="0" w:type="dxa"/>
            <w:right w:w="0" w:type="dxa"/>
          </w:tblCellMar>
        </w:tblPrEx>
        <w:trPr>
          <w:trHeight w:val="90" w:hRule="atLeast"/>
        </w:trPr>
        <w:tc>
          <w:tcPr>
            <w:tcW w:w="8898"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注：本表反映部门本年度一般公共预算财政拨款基本支出明细情况。</w:t>
            </w:r>
          </w:p>
        </w:tc>
      </w:tr>
    </w:tbl>
    <w:p>
      <w:pPr>
        <w:jc w:val="both"/>
        <w:rPr>
          <w:rFonts w:hint="eastAsia" w:ascii="黑体" w:hAnsi="黑体" w:eastAsia="黑体"/>
          <w:color w:val="auto"/>
          <w:szCs w:val="32"/>
          <w:highlight w:val="none"/>
        </w:rPr>
      </w:pPr>
    </w:p>
    <w:p>
      <w:pPr>
        <w:jc w:val="center"/>
        <w:rPr>
          <w:rFonts w:hint="eastAsia" w:ascii="黑体" w:hAnsi="黑体" w:eastAsia="黑体"/>
          <w:color w:val="auto"/>
          <w:szCs w:val="32"/>
          <w:highlight w:val="none"/>
        </w:rPr>
      </w:pPr>
      <w:r>
        <w:rPr>
          <w:rFonts w:hint="eastAsia" w:ascii="黑体" w:hAnsi="黑体" w:eastAsia="黑体"/>
          <w:color w:val="auto"/>
          <w:szCs w:val="32"/>
          <w:highlight w:val="none"/>
        </w:rPr>
        <w:t>政府性基金预算财政拨款收入支出决算表</w:t>
      </w:r>
    </w:p>
    <w:p>
      <w:pPr>
        <w:jc w:val="right"/>
        <w:rPr>
          <w:rFonts w:hint="eastAsia" w:ascii="黑体" w:hAnsi="黑体" w:eastAsia="黑体"/>
          <w:color w:val="auto"/>
          <w:sz w:val="20"/>
          <w:highlight w:val="none"/>
        </w:rPr>
      </w:pPr>
      <w:r>
        <w:rPr>
          <w:rFonts w:hint="eastAsia" w:ascii="黑体" w:hAnsi="黑体" w:eastAsia="黑体"/>
          <w:color w:val="auto"/>
          <w:sz w:val="20"/>
          <w:highlight w:val="none"/>
        </w:rPr>
        <w:t xml:space="preserve">                                                                              </w:t>
      </w:r>
      <w:r>
        <w:rPr>
          <w:rFonts w:hint="eastAsia" w:ascii="宋体" w:hAnsi="宋体" w:eastAsia="宋体" w:cs="宋体"/>
          <w:color w:val="auto"/>
          <w:kern w:val="0"/>
          <w:sz w:val="20"/>
          <w:highlight w:val="none"/>
        </w:rPr>
        <w:t>公开07表</w:t>
      </w:r>
    </w:p>
    <w:tbl>
      <w:tblPr>
        <w:tblStyle w:val="7"/>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255"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highlight w:val="none"/>
              </w:rPr>
            </w:pPr>
            <w:r>
              <w:rPr>
                <w:rFonts w:hint="eastAsia" w:ascii="宋体" w:hAnsi="宋体" w:eastAsia="宋体" w:cs="Arial"/>
                <w:color w:val="auto"/>
                <w:kern w:val="0"/>
                <w:sz w:val="20"/>
                <w:szCs w:val="20"/>
                <w:highlight w:val="none"/>
                <w:lang w:eastAsia="zh-CN"/>
              </w:rPr>
              <w:t>部门：</w:t>
            </w:r>
          </w:p>
        </w:tc>
        <w:tc>
          <w:tcPr>
            <w:tcW w:w="404"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774"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491"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47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highlight w:val="none"/>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highlight w:val="none"/>
              </w:rPr>
            </w:pPr>
            <w:r>
              <w:rPr>
                <w:rFonts w:hint="eastAsia" w:ascii="宋体" w:hAnsi="宋体" w:eastAsia="宋体" w:cs="Arial"/>
                <w:color w:val="auto"/>
                <w:kern w:val="0"/>
                <w:sz w:val="20"/>
                <w:highlight w:val="none"/>
                <w:lang w:val="en-US" w:eastAsia="zh-CN"/>
              </w:rPr>
              <w:t xml:space="preserve"> </w:t>
            </w:r>
            <w:r>
              <w:rPr>
                <w:rFonts w:hint="eastAsia" w:ascii="宋体" w:hAnsi="宋体" w:eastAsia="宋体" w:cs="Arial"/>
                <w:color w:val="auto"/>
                <w:kern w:val="0"/>
                <w:sz w:val="20"/>
                <w:highlight w:val="none"/>
                <w:lang w:eastAsia="zh-CN"/>
              </w:rPr>
              <w:t>金额</w:t>
            </w:r>
            <w:r>
              <w:rPr>
                <w:rFonts w:hint="eastAsia" w:ascii="宋体" w:hAnsi="宋体" w:eastAsia="宋体" w:cs="Arial"/>
                <w:color w:val="auto"/>
                <w:kern w:val="0"/>
                <w:sz w:val="20"/>
                <w:highlight w:val="none"/>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科目</w:t>
            </w:r>
            <w:r>
              <w:rPr>
                <w:rFonts w:hint="eastAsia" w:ascii="宋体" w:hAnsi="宋体" w:eastAsia="宋体" w:cs="Arial"/>
                <w:color w:val="auto"/>
                <w:kern w:val="0"/>
                <w:sz w:val="22"/>
                <w:szCs w:val="22"/>
                <w:highlight w:val="none"/>
                <w:lang w:eastAsia="zh-CN"/>
              </w:rPr>
              <w:t>代</w:t>
            </w:r>
            <w:r>
              <w:rPr>
                <w:rFonts w:hint="eastAsia" w:ascii="宋体" w:hAnsi="宋体" w:eastAsia="宋体" w:cs="Arial"/>
                <w:color w:val="auto"/>
                <w:kern w:val="0"/>
                <w:sz w:val="22"/>
                <w:szCs w:val="22"/>
                <w:highlight w:val="none"/>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23"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p>
        </w:tc>
      </w:tr>
      <w:tr>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13</w:t>
            </w:r>
          </w:p>
        </w:tc>
      </w:tr>
      <w:tr>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highlight w:val="none"/>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highlight w:val="none"/>
              </w:rPr>
            </w:pPr>
          </w:p>
        </w:tc>
      </w:tr>
      <w:tr>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23"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r>
      <w:tr>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w:t>
            </w:r>
          </w:p>
        </w:tc>
      </w:tr>
      <w:tr>
        <w:tblPrEx>
          <w:tblCellMar>
            <w:top w:w="0" w:type="dxa"/>
            <w:left w:w="108" w:type="dxa"/>
            <w:bottom w:w="0" w:type="dxa"/>
            <w:right w:w="108" w:type="dxa"/>
          </w:tblCellMar>
        </w:tblPrEx>
        <w:trPr>
          <w:trHeight w:val="595" w:hRule="atLeast"/>
        </w:trPr>
        <w:tc>
          <w:tcPr>
            <w:tcW w:w="8860" w:type="dxa"/>
            <w:gridSpan w:val="25"/>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Arial"/>
                <w:color w:val="auto"/>
                <w:kern w:val="0"/>
                <w:sz w:val="22"/>
                <w:szCs w:val="22"/>
                <w:highlight w:val="none"/>
                <w:lang w:eastAsia="zh-CN"/>
              </w:rPr>
            </w:pPr>
            <w:r>
              <w:rPr>
                <w:rFonts w:hint="eastAsia" w:ascii="宋体" w:hAnsi="宋体" w:eastAsia="宋体" w:cs="宋体"/>
                <w:i w:val="0"/>
                <w:color w:val="auto"/>
                <w:kern w:val="0"/>
                <w:sz w:val="20"/>
                <w:szCs w:val="20"/>
                <w:highlight w:val="none"/>
                <w:u w:val="none"/>
                <w:lang w:val="en-US" w:eastAsia="zh-CN" w:bidi="ar"/>
              </w:rPr>
              <w:t>淮南市地方金融监督管理局没有政府性基金预算收入，也没有使用政府性基金预算安排的支出，故本表无数据。</w:t>
            </w:r>
          </w:p>
        </w:tc>
      </w:tr>
    </w:tbl>
    <w:p>
      <w:pPr>
        <w:jc w:val="both"/>
        <w:rPr>
          <w:rFonts w:hint="eastAsia" w:ascii="黑体" w:hAnsi="黑体" w:eastAsia="黑体"/>
          <w:color w:val="auto"/>
          <w:szCs w:val="32"/>
          <w:highlight w:val="none"/>
        </w:rPr>
      </w:pPr>
    </w:p>
    <w:p>
      <w:pPr>
        <w:jc w:val="center"/>
        <w:rPr>
          <w:rFonts w:hint="eastAsia" w:ascii="黑体" w:hAnsi="黑体" w:eastAsia="黑体"/>
          <w:color w:val="auto"/>
          <w:szCs w:val="32"/>
          <w:highlight w:val="none"/>
        </w:rPr>
      </w:pPr>
      <w:r>
        <w:rPr>
          <w:rFonts w:hint="eastAsia" w:ascii="黑体" w:hAnsi="黑体" w:eastAsia="黑体"/>
          <w:color w:val="auto"/>
          <w:szCs w:val="32"/>
          <w:highlight w:val="none"/>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lang w:eastAsia="zh-CN"/>
              </w:rPr>
              <w:t>部门</w:t>
            </w:r>
            <w:r>
              <w:rPr>
                <w:rFonts w:hint="eastAsia" w:ascii="宋体" w:hAnsi="宋体" w:eastAsia="宋体" w:cs="Arial"/>
                <w:color w:val="auto"/>
                <w:kern w:val="0"/>
                <w:sz w:val="22"/>
                <w:szCs w:val="22"/>
                <w:highlight w:val="none"/>
              </w:rPr>
              <w:t>：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科目</w:t>
            </w:r>
            <w:r>
              <w:rPr>
                <w:rFonts w:hint="eastAsia" w:ascii="宋体" w:hAnsi="宋体" w:eastAsia="宋体" w:cs="Arial"/>
                <w:color w:val="auto"/>
                <w:kern w:val="0"/>
                <w:sz w:val="22"/>
                <w:szCs w:val="22"/>
                <w:highlight w:val="none"/>
                <w:lang w:eastAsia="zh-CN"/>
              </w:rPr>
              <w:t>代</w:t>
            </w:r>
            <w:r>
              <w:rPr>
                <w:rFonts w:hint="eastAsia" w:ascii="宋体" w:hAnsi="宋体" w:eastAsia="宋体" w:cs="Arial"/>
                <w:color w:val="auto"/>
                <w:kern w:val="0"/>
                <w:sz w:val="22"/>
                <w:szCs w:val="22"/>
                <w:highlight w:val="none"/>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lang w:eastAsia="zh-CN"/>
              </w:rPr>
            </w:pPr>
            <w:r>
              <w:rPr>
                <w:rFonts w:hint="eastAsia" w:ascii="宋体" w:hAnsi="宋体" w:eastAsia="宋体" w:cs="Arial"/>
                <w:color w:val="auto"/>
                <w:kern w:val="0"/>
                <w:sz w:val="22"/>
                <w:szCs w:val="22"/>
                <w:highlight w:val="none"/>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highlight w:val="none"/>
              </w:rPr>
            </w:pPr>
          </w:p>
        </w:tc>
      </w:tr>
      <w:tr>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Arial"/>
                <w:color w:val="auto"/>
                <w:kern w:val="0"/>
                <w:sz w:val="22"/>
                <w:szCs w:val="22"/>
                <w:highlight w:val="none"/>
              </w:rPr>
            </w:pPr>
            <w:r>
              <w:rPr>
                <w:rFonts w:hint="eastAsia" w:ascii="宋体" w:hAnsi="宋体" w:eastAsia="宋体" w:cs="宋体"/>
                <w:i w:val="0"/>
                <w:color w:val="auto"/>
                <w:kern w:val="0"/>
                <w:sz w:val="20"/>
                <w:szCs w:val="20"/>
                <w:highlight w:val="none"/>
                <w:u w:val="none"/>
                <w:lang w:val="en-US" w:eastAsia="zh-CN" w:bidi="ar"/>
              </w:rPr>
              <w:t>淮南市地方金融监督管理局没有国有资本经营预算财政拨款安排的支出，故本表无数据。</w:t>
            </w:r>
          </w:p>
        </w:tc>
      </w:tr>
    </w:tbl>
    <w:p>
      <w:pPr>
        <w:ind w:firstLine="628" w:firstLineChars="200"/>
        <w:rPr>
          <w:rFonts w:hint="eastAsia" w:ascii="黑体" w:hAnsi="黑体" w:eastAsia="黑体"/>
          <w:color w:val="auto"/>
          <w:szCs w:val="32"/>
          <w:highlight w:val="none"/>
        </w:rPr>
      </w:pP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 xml:space="preserve">第三部分 </w:t>
      </w:r>
      <w:r>
        <w:rPr>
          <w:rFonts w:hint="eastAsia" w:ascii="黑体" w:hAnsi="黑体" w:eastAsia="黑体"/>
          <w:color w:val="auto"/>
          <w:szCs w:val="32"/>
          <w:highlight w:val="none"/>
          <w:lang w:val="en-US" w:eastAsia="zh-CN"/>
        </w:rPr>
        <w:t>淮南市地方金融监督管理局</w:t>
      </w:r>
      <w:r>
        <w:rPr>
          <w:rFonts w:hint="eastAsia" w:ascii="黑体" w:hAnsi="黑体" w:eastAsia="黑体"/>
          <w:color w:val="auto"/>
          <w:szCs w:val="32"/>
          <w:highlight w:val="none"/>
          <w:lang w:eastAsia="zh-CN"/>
        </w:rPr>
        <w:t>2023</w:t>
      </w:r>
      <w:r>
        <w:rPr>
          <w:rFonts w:hint="eastAsia" w:ascii="黑体" w:hAnsi="黑体" w:eastAsia="黑体"/>
          <w:color w:val="auto"/>
          <w:szCs w:val="32"/>
          <w:highlight w:val="none"/>
        </w:rPr>
        <w:t>年度</w:t>
      </w:r>
      <w:r>
        <w:rPr>
          <w:rFonts w:hint="eastAsia" w:ascii="黑体" w:hAnsi="黑体" w:eastAsia="黑体"/>
          <w:color w:val="auto"/>
          <w:szCs w:val="32"/>
          <w:highlight w:val="none"/>
          <w:lang w:eastAsia="zh-CN"/>
        </w:rPr>
        <w:t>部门</w:t>
      </w:r>
      <w:r>
        <w:rPr>
          <w:rFonts w:hint="eastAsia" w:ascii="黑体" w:hAnsi="黑体" w:eastAsia="黑体"/>
          <w:color w:val="auto"/>
          <w:szCs w:val="32"/>
          <w:highlight w:val="none"/>
        </w:rPr>
        <w:t>决算情况说明</w:t>
      </w: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一、收入支出决算总体情况说明</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年度收入总计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万元（含使用非财政拨款结余</w:t>
      </w:r>
      <w:r>
        <w:rPr>
          <w:rFonts w:hint="eastAsia" w:ascii="仿宋_GB2312" w:hAnsi="仿宋"/>
          <w:color w:val="auto"/>
          <w:szCs w:val="32"/>
          <w:highlight w:val="none"/>
          <w:lang w:eastAsia="zh-CN"/>
        </w:rPr>
        <w:t>、</w:t>
      </w:r>
      <w:r>
        <w:rPr>
          <w:rFonts w:hint="eastAsia" w:ascii="仿宋_GB2312" w:hAnsi="仿宋"/>
          <w:color w:val="auto"/>
          <w:szCs w:val="32"/>
          <w:highlight w:val="none"/>
        </w:rPr>
        <w:t>年初结转</w:t>
      </w:r>
      <w:r>
        <w:rPr>
          <w:rFonts w:hint="eastAsia" w:ascii="仿宋_GB2312" w:hAnsi="仿宋"/>
          <w:color w:val="auto"/>
          <w:szCs w:val="32"/>
          <w:highlight w:val="none"/>
          <w:lang w:eastAsia="zh-CN"/>
        </w:rPr>
        <w:t>和</w:t>
      </w:r>
      <w:r>
        <w:rPr>
          <w:rFonts w:hint="eastAsia" w:ascii="仿宋_GB2312" w:hAnsi="仿宋"/>
          <w:color w:val="auto"/>
          <w:szCs w:val="32"/>
          <w:highlight w:val="none"/>
        </w:rPr>
        <w:t>结余）、支出总计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万元（含结余分配</w:t>
      </w:r>
      <w:r>
        <w:rPr>
          <w:rFonts w:hint="eastAsia" w:ascii="仿宋_GB2312" w:hAnsi="仿宋"/>
          <w:color w:val="auto"/>
          <w:szCs w:val="32"/>
          <w:highlight w:val="none"/>
          <w:lang w:eastAsia="zh-CN"/>
        </w:rPr>
        <w:t>、</w:t>
      </w:r>
      <w:r>
        <w:rPr>
          <w:rFonts w:hint="eastAsia" w:ascii="仿宋_GB2312" w:hAnsi="仿宋"/>
          <w:color w:val="auto"/>
          <w:szCs w:val="32"/>
          <w:highlight w:val="none"/>
        </w:rPr>
        <w:t>年末结转</w:t>
      </w:r>
      <w:r>
        <w:rPr>
          <w:rFonts w:hint="eastAsia" w:ascii="仿宋_GB2312" w:hAnsi="仿宋"/>
          <w:color w:val="auto"/>
          <w:szCs w:val="32"/>
          <w:highlight w:val="none"/>
          <w:lang w:eastAsia="zh-CN"/>
        </w:rPr>
        <w:t>和</w:t>
      </w:r>
      <w:r>
        <w:rPr>
          <w:rFonts w:hint="eastAsia" w:ascii="仿宋_GB2312" w:hAnsi="仿宋"/>
          <w:color w:val="auto"/>
          <w:szCs w:val="32"/>
          <w:highlight w:val="none"/>
        </w:rPr>
        <w:t>结余）。与</w:t>
      </w:r>
      <w:r>
        <w:rPr>
          <w:rFonts w:hint="eastAsia" w:ascii="仿宋_GB2312" w:hAnsi="仿宋"/>
          <w:color w:val="auto"/>
          <w:szCs w:val="32"/>
          <w:highlight w:val="none"/>
          <w:lang w:eastAsia="zh-CN"/>
        </w:rPr>
        <w:t>2022</w:t>
      </w:r>
      <w:r>
        <w:rPr>
          <w:rFonts w:hint="eastAsia" w:ascii="仿宋_GB2312" w:hAnsi="仿宋"/>
          <w:color w:val="auto"/>
          <w:szCs w:val="32"/>
          <w:highlight w:val="none"/>
        </w:rPr>
        <w:t>年相比，收、支总计各增加</w:t>
      </w:r>
      <w:r>
        <w:rPr>
          <w:rFonts w:hint="eastAsia" w:ascii="仿宋_GB2312" w:hAnsi="仿宋"/>
          <w:color w:val="auto"/>
          <w:szCs w:val="32"/>
          <w:highlight w:val="none"/>
          <w:lang w:val="en-US" w:eastAsia="zh-CN"/>
        </w:rPr>
        <w:t>471.25</w:t>
      </w:r>
      <w:r>
        <w:rPr>
          <w:rFonts w:hint="eastAsia" w:ascii="仿宋_GB2312" w:hAnsi="仿宋"/>
          <w:color w:val="auto"/>
          <w:szCs w:val="32"/>
          <w:highlight w:val="none"/>
        </w:rPr>
        <w:t>万元，增长</w:t>
      </w:r>
      <w:r>
        <w:rPr>
          <w:rFonts w:hint="eastAsia" w:ascii="仿宋_GB2312" w:hAnsi="仿宋"/>
          <w:color w:val="auto"/>
          <w:szCs w:val="32"/>
          <w:highlight w:val="none"/>
          <w:lang w:val="en-US" w:eastAsia="zh-CN"/>
        </w:rPr>
        <w:t>34.23</w:t>
      </w:r>
      <w:r>
        <w:rPr>
          <w:rFonts w:hint="eastAsia" w:ascii="仿宋_GB2312" w:hAnsi="仿宋"/>
          <w:color w:val="auto"/>
          <w:szCs w:val="32"/>
          <w:highlight w:val="none"/>
        </w:rPr>
        <w:t>%，主要原因：一是</w:t>
      </w:r>
      <w:r>
        <w:rPr>
          <w:rFonts w:hint="eastAsia" w:ascii="仿宋_GB2312" w:hAnsi="仿宋"/>
          <w:color w:val="auto"/>
          <w:szCs w:val="32"/>
          <w:highlight w:val="none"/>
          <w:lang w:eastAsia="zh-CN"/>
        </w:rPr>
        <w:t>人员经费增加</w:t>
      </w:r>
      <w:r>
        <w:rPr>
          <w:rFonts w:hint="eastAsia" w:ascii="仿宋_GB2312" w:hAnsi="仿宋"/>
          <w:color w:val="auto"/>
          <w:szCs w:val="32"/>
          <w:highlight w:val="none"/>
        </w:rPr>
        <w:t>；二是</w:t>
      </w:r>
      <w:r>
        <w:rPr>
          <w:rFonts w:hint="eastAsia" w:ascii="仿宋_GB2312" w:hAnsi="仿宋"/>
          <w:color w:val="auto"/>
          <w:szCs w:val="32"/>
          <w:highlight w:val="none"/>
          <w:lang w:eastAsia="zh-CN"/>
        </w:rPr>
        <w:t>对上市企业奖补资金增加</w:t>
      </w:r>
      <w:r>
        <w:rPr>
          <w:rFonts w:hint="eastAsia" w:ascii="仿宋_GB2312" w:hAnsi="仿宋"/>
          <w:color w:val="auto"/>
          <w:szCs w:val="32"/>
          <w:highlight w:val="none"/>
        </w:rPr>
        <w:t>。</w:t>
      </w:r>
    </w:p>
    <w:p>
      <w:pPr>
        <w:ind w:firstLine="628" w:firstLineChars="200"/>
        <w:rPr>
          <w:rFonts w:hint="eastAsia" w:ascii="黑体" w:hAnsi="仿宋" w:eastAsia="黑体"/>
          <w:color w:val="auto"/>
          <w:szCs w:val="32"/>
          <w:highlight w:val="none"/>
        </w:rPr>
      </w:pPr>
      <w:r>
        <w:rPr>
          <w:rFonts w:hint="eastAsia" w:ascii="黑体" w:hAnsi="仿宋" w:eastAsia="黑体"/>
          <w:color w:val="auto"/>
          <w:szCs w:val="32"/>
          <w:highlight w:val="none"/>
        </w:rPr>
        <w:t>二、收入决算情况说明</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年度收入合计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万元，其中：财政拨款收入</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100</w:t>
      </w:r>
      <w:r>
        <w:rPr>
          <w:rFonts w:hint="eastAsia" w:ascii="仿宋_GB2312" w:hAnsi="仿宋"/>
          <w:color w:val="auto"/>
          <w:szCs w:val="32"/>
          <w:highlight w:val="none"/>
        </w:rPr>
        <w:t>%；事业收入</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%；经营收入</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%；其他收入</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w:t>
      </w:r>
    </w:p>
    <w:p>
      <w:pPr>
        <w:ind w:firstLine="628" w:firstLineChars="200"/>
        <w:rPr>
          <w:rFonts w:hint="eastAsia" w:ascii="黑体" w:hAnsi="仿宋" w:eastAsia="黑体"/>
          <w:color w:val="auto"/>
          <w:szCs w:val="32"/>
          <w:highlight w:val="none"/>
        </w:rPr>
      </w:pPr>
      <w:r>
        <w:rPr>
          <w:rFonts w:hint="eastAsia" w:ascii="黑体" w:hAnsi="仿宋" w:eastAsia="黑体"/>
          <w:color w:val="auto"/>
          <w:szCs w:val="32"/>
          <w:highlight w:val="none"/>
        </w:rPr>
        <w:t>三、支出决算情况说明</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年度支出合计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万元，其中：基本支出</w:t>
      </w:r>
      <w:r>
        <w:rPr>
          <w:rFonts w:hint="eastAsia" w:ascii="仿宋_GB2312" w:hAnsi="仿宋"/>
          <w:color w:val="auto"/>
          <w:szCs w:val="32"/>
          <w:highlight w:val="none"/>
          <w:lang w:val="en-US" w:eastAsia="zh-CN"/>
        </w:rPr>
        <w:t>253.78</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13.73</w:t>
      </w:r>
      <w:r>
        <w:rPr>
          <w:rFonts w:hint="eastAsia" w:ascii="仿宋_GB2312" w:hAnsi="仿宋"/>
          <w:color w:val="auto"/>
          <w:szCs w:val="32"/>
          <w:highlight w:val="none"/>
        </w:rPr>
        <w:t>%；项目支出</w:t>
      </w:r>
      <w:r>
        <w:rPr>
          <w:rFonts w:hint="eastAsia" w:ascii="仿宋_GB2312" w:hAnsi="仿宋"/>
          <w:color w:val="auto"/>
          <w:szCs w:val="32"/>
          <w:highlight w:val="none"/>
          <w:lang w:val="en-US" w:eastAsia="zh-CN"/>
        </w:rPr>
        <w:t>1594.08</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86.27</w:t>
      </w:r>
      <w:r>
        <w:rPr>
          <w:rFonts w:hint="eastAsia" w:ascii="仿宋_GB2312" w:hAnsi="仿宋"/>
          <w:color w:val="auto"/>
          <w:szCs w:val="32"/>
          <w:highlight w:val="none"/>
        </w:rPr>
        <w:t>%；经营支出</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w:t>
      </w:r>
    </w:p>
    <w:p>
      <w:pPr>
        <w:ind w:firstLine="628"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四、财政拨款收入支出决算总体情况说明</w:t>
      </w:r>
    </w:p>
    <w:p>
      <w:pPr>
        <w:ind w:firstLine="628" w:firstLineChars="200"/>
        <w:rPr>
          <w:rFonts w:hint="eastAsia" w:ascii="仿宋_GB2312" w:hAnsi="仿宋"/>
          <w:color w:val="auto"/>
          <w:szCs w:val="32"/>
          <w:highlight w:val="none"/>
        </w:rPr>
      </w:pPr>
      <w:r>
        <w:rPr>
          <w:rFonts w:hint="eastAsia" w:ascii="仿宋_GB2312" w:hAnsi="仿宋_GB2312" w:cs="仿宋_GB2312"/>
          <w:b w:val="0"/>
          <w:bCs/>
          <w:color w:val="auto"/>
          <w:sz w:val="32"/>
          <w:szCs w:val="32"/>
          <w:highlight w:val="none"/>
          <w:lang w:eastAsia="zh-CN"/>
        </w:rPr>
        <w:t>2023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度</w:t>
      </w:r>
      <w:r>
        <w:rPr>
          <w:rFonts w:hint="eastAsia" w:ascii="仿宋_GB2312" w:hAnsi="仿宋_GB2312" w:eastAsia="仿宋_GB2312" w:cs="仿宋_GB2312"/>
          <w:b w:val="0"/>
          <w:bCs/>
          <w:color w:val="auto"/>
          <w:sz w:val="32"/>
          <w:szCs w:val="32"/>
          <w:highlight w:val="none"/>
        </w:rPr>
        <w:t>财政拨款收入</w:t>
      </w:r>
      <w:r>
        <w:rPr>
          <w:rFonts w:hint="eastAsia" w:ascii="仿宋_GB2312" w:hAnsi="仿宋"/>
          <w:color w:val="auto"/>
          <w:szCs w:val="32"/>
          <w:highlight w:val="none"/>
        </w:rPr>
        <w:t>总计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万元（含年初财政拨款结转</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color w:val="auto"/>
          <w:sz w:val="32"/>
          <w:szCs w:val="32"/>
          <w:highlight w:val="none"/>
        </w:rPr>
        <w:t>结</w:t>
      </w:r>
      <w:r>
        <w:rPr>
          <w:rFonts w:hint="eastAsia" w:ascii="仿宋_GB2312" w:hAnsi="仿宋"/>
          <w:color w:val="auto"/>
          <w:szCs w:val="32"/>
          <w:highlight w:val="none"/>
        </w:rPr>
        <w:t>余），支出总计</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万元（含年末财政拨款结转和结余）。与</w:t>
      </w:r>
      <w:r>
        <w:rPr>
          <w:rFonts w:hint="eastAsia" w:ascii="仿宋_GB2312" w:hAnsi="仿宋"/>
          <w:color w:val="auto"/>
          <w:szCs w:val="32"/>
          <w:highlight w:val="none"/>
          <w:lang w:eastAsia="zh-CN"/>
        </w:rPr>
        <w:t>2022</w:t>
      </w:r>
      <w:r>
        <w:rPr>
          <w:rFonts w:hint="eastAsia" w:ascii="仿宋_GB2312" w:hAnsi="仿宋"/>
          <w:color w:val="auto"/>
          <w:szCs w:val="32"/>
          <w:highlight w:val="none"/>
        </w:rPr>
        <w:t>年相比，财政拨款收、支总计各增加</w:t>
      </w:r>
      <w:r>
        <w:rPr>
          <w:rFonts w:hint="eastAsia" w:ascii="仿宋_GB2312" w:hAnsi="仿宋"/>
          <w:color w:val="auto"/>
          <w:szCs w:val="32"/>
          <w:highlight w:val="none"/>
          <w:lang w:val="en-US" w:eastAsia="zh-CN"/>
        </w:rPr>
        <w:t>471.25</w:t>
      </w:r>
      <w:r>
        <w:rPr>
          <w:rFonts w:hint="eastAsia" w:ascii="仿宋_GB2312" w:hAnsi="仿宋"/>
          <w:color w:val="auto"/>
          <w:szCs w:val="32"/>
          <w:highlight w:val="none"/>
        </w:rPr>
        <w:t>万元，增长</w:t>
      </w:r>
      <w:r>
        <w:rPr>
          <w:rFonts w:hint="eastAsia" w:ascii="仿宋_GB2312" w:hAnsi="仿宋"/>
          <w:color w:val="auto"/>
          <w:szCs w:val="32"/>
          <w:highlight w:val="none"/>
          <w:lang w:val="en-US" w:eastAsia="zh-CN"/>
        </w:rPr>
        <w:t>34.23</w:t>
      </w:r>
      <w:r>
        <w:rPr>
          <w:rFonts w:hint="eastAsia" w:ascii="仿宋_GB2312" w:hAnsi="仿宋"/>
          <w:color w:val="auto"/>
          <w:szCs w:val="32"/>
          <w:highlight w:val="none"/>
        </w:rPr>
        <w:t>%，主要原因：一是</w:t>
      </w:r>
      <w:r>
        <w:rPr>
          <w:rFonts w:hint="eastAsia" w:ascii="仿宋_GB2312" w:hAnsi="仿宋"/>
          <w:color w:val="auto"/>
          <w:szCs w:val="32"/>
          <w:highlight w:val="none"/>
          <w:lang w:eastAsia="zh-CN"/>
        </w:rPr>
        <w:t>人员经费增加</w:t>
      </w:r>
      <w:r>
        <w:rPr>
          <w:rFonts w:hint="eastAsia" w:ascii="仿宋_GB2312" w:hAnsi="仿宋"/>
          <w:color w:val="auto"/>
          <w:szCs w:val="32"/>
          <w:highlight w:val="none"/>
        </w:rPr>
        <w:t>；二是</w:t>
      </w:r>
      <w:r>
        <w:rPr>
          <w:rFonts w:hint="eastAsia" w:ascii="仿宋_GB2312" w:hAnsi="仿宋"/>
          <w:color w:val="auto"/>
          <w:szCs w:val="32"/>
          <w:highlight w:val="none"/>
          <w:lang w:eastAsia="zh-CN"/>
        </w:rPr>
        <w:t>对上市企业奖补资金增加</w:t>
      </w:r>
      <w:r>
        <w:rPr>
          <w:rFonts w:hint="eastAsia" w:ascii="仿宋_GB2312" w:hAnsi="仿宋"/>
          <w:color w:val="auto"/>
          <w:szCs w:val="32"/>
          <w:highlight w:val="none"/>
        </w:rPr>
        <w:t>。</w:t>
      </w:r>
    </w:p>
    <w:p>
      <w:pPr>
        <w:ind w:firstLine="628" w:firstLineChars="200"/>
        <w:rPr>
          <w:rFonts w:hint="eastAsia" w:ascii="黑体" w:hAnsi="仿宋" w:eastAsia="黑体"/>
          <w:color w:val="auto"/>
          <w:szCs w:val="32"/>
          <w:highlight w:val="none"/>
        </w:rPr>
      </w:pPr>
      <w:r>
        <w:rPr>
          <w:rFonts w:hint="eastAsia" w:ascii="黑体" w:hAnsi="仿宋" w:eastAsia="黑体"/>
          <w:color w:val="auto"/>
          <w:szCs w:val="32"/>
          <w:highlight w:val="none"/>
        </w:rPr>
        <w:t>五、一般公共预算财政拨款支出决算情况说明</w:t>
      </w:r>
    </w:p>
    <w:p>
      <w:pPr>
        <w:ind w:firstLine="628" w:firstLineChars="200"/>
        <w:rPr>
          <w:rFonts w:hint="eastAsia" w:ascii="仿宋_GB2312" w:hAnsi="仿宋"/>
          <w:b/>
          <w:bCs/>
          <w:color w:val="auto"/>
          <w:szCs w:val="32"/>
          <w:highlight w:val="none"/>
        </w:rPr>
      </w:pPr>
      <w:r>
        <w:rPr>
          <w:rFonts w:hint="eastAsia" w:ascii="仿宋_GB2312" w:hAnsi="仿宋"/>
          <w:b/>
          <w:bCs/>
          <w:color w:val="auto"/>
          <w:szCs w:val="32"/>
          <w:highlight w:val="none"/>
        </w:rPr>
        <w:t>（一）一般公共预算财政拨款支出决算总体情况。</w:t>
      </w:r>
    </w:p>
    <w:p>
      <w:pPr>
        <w:ind w:firstLine="628" w:firstLineChars="200"/>
        <w:rPr>
          <w:rFonts w:hint="eastAsia" w:ascii="仿宋_GB2312" w:hAnsi="仿宋"/>
          <w:color w:val="auto"/>
          <w:szCs w:val="32"/>
          <w:highlight w:val="none"/>
        </w:rPr>
      </w:pPr>
      <w:r>
        <w:rPr>
          <w:rFonts w:hint="eastAsia" w:ascii="仿宋_GB2312" w:hAnsi="仿宋_GB2312" w:cs="仿宋_GB2312"/>
          <w:b w:val="0"/>
          <w:bCs/>
          <w:color w:val="auto"/>
          <w:sz w:val="32"/>
          <w:szCs w:val="32"/>
          <w:highlight w:val="none"/>
          <w:lang w:eastAsia="zh-CN"/>
        </w:rPr>
        <w:t>2023</w:t>
      </w:r>
      <w:r>
        <w:rPr>
          <w:rFonts w:hint="eastAsia" w:ascii="仿宋_GB2312" w:hAnsi="仿宋_GB2312" w:eastAsia="仿宋_GB2312" w:cs="仿宋_GB2312"/>
          <w:b w:val="0"/>
          <w:bCs/>
          <w:color w:val="auto"/>
          <w:sz w:val="32"/>
          <w:szCs w:val="32"/>
          <w:highlight w:val="none"/>
          <w:lang w:eastAsia="zh-CN"/>
        </w:rPr>
        <w:t>年度一般公共预算财政拨款支出</w:t>
      </w:r>
      <w:r>
        <w:rPr>
          <w:rFonts w:hint="eastAsia" w:ascii="仿宋_GB2312" w:hAnsi="仿宋_GB2312" w:cs="仿宋_GB2312"/>
          <w:b w:val="0"/>
          <w:bCs/>
          <w:color w:val="auto"/>
          <w:sz w:val="32"/>
          <w:szCs w:val="32"/>
          <w:highlight w:val="none"/>
          <w:lang w:val="en-US" w:eastAsia="zh-CN"/>
        </w:rPr>
        <w:t>1847.86</w:t>
      </w:r>
      <w:r>
        <w:rPr>
          <w:rFonts w:hint="eastAsia" w:ascii="仿宋_GB2312" w:hAnsi="仿宋_GB2312" w:eastAsia="仿宋_GB2312" w:cs="仿宋_GB2312"/>
          <w:b w:val="0"/>
          <w:bCs/>
          <w:color w:val="auto"/>
          <w:sz w:val="32"/>
          <w:szCs w:val="32"/>
          <w:highlight w:val="none"/>
          <w:lang w:eastAsia="zh-CN"/>
        </w:rPr>
        <w:t>万元，占本年支出的</w:t>
      </w:r>
      <w:r>
        <w:rPr>
          <w:rFonts w:hint="eastAsia" w:ascii="仿宋_GB2312" w:hAnsi="仿宋_GB2312" w:cs="仿宋_GB2312"/>
          <w:b w:val="0"/>
          <w:bCs/>
          <w:color w:val="auto"/>
          <w:sz w:val="32"/>
          <w:szCs w:val="32"/>
          <w:highlight w:val="none"/>
          <w:lang w:val="en-US" w:eastAsia="zh-CN"/>
        </w:rPr>
        <w:t>100</w:t>
      </w:r>
      <w:r>
        <w:rPr>
          <w:rFonts w:hint="eastAsia" w:ascii="仿宋_GB2312" w:hAnsi="仿宋_GB2312" w:eastAsia="仿宋_GB2312" w:cs="仿宋_GB2312"/>
          <w:b w:val="0"/>
          <w:bCs/>
          <w:color w:val="auto"/>
          <w:sz w:val="32"/>
          <w:szCs w:val="32"/>
          <w:highlight w:val="none"/>
          <w:lang w:eastAsia="zh-CN"/>
        </w:rPr>
        <w:t>%。与</w:t>
      </w:r>
      <w:r>
        <w:rPr>
          <w:rFonts w:hint="eastAsia" w:ascii="仿宋_GB2312" w:hAnsi="仿宋_GB2312" w:cs="仿宋_GB2312"/>
          <w:b w:val="0"/>
          <w:bCs/>
          <w:color w:val="auto"/>
          <w:sz w:val="32"/>
          <w:szCs w:val="32"/>
          <w:highlight w:val="none"/>
          <w:lang w:eastAsia="zh-CN"/>
        </w:rPr>
        <w:t>2022</w:t>
      </w:r>
      <w:r>
        <w:rPr>
          <w:rFonts w:hint="eastAsia" w:ascii="仿宋_GB2312" w:hAnsi="仿宋_GB2312" w:eastAsia="仿宋_GB2312" w:cs="仿宋_GB2312"/>
          <w:b w:val="0"/>
          <w:bCs/>
          <w:color w:val="auto"/>
          <w:sz w:val="32"/>
          <w:szCs w:val="32"/>
          <w:highlight w:val="none"/>
          <w:lang w:eastAsia="zh-CN"/>
        </w:rPr>
        <w:t>年相比，一般公共预算财政拨款支出</w:t>
      </w:r>
      <w:r>
        <w:rPr>
          <w:rFonts w:hint="eastAsia" w:ascii="仿宋_GB2312" w:hAnsi="仿宋"/>
          <w:color w:val="auto"/>
          <w:szCs w:val="32"/>
          <w:highlight w:val="none"/>
        </w:rPr>
        <w:t>增加</w:t>
      </w:r>
      <w:r>
        <w:rPr>
          <w:rFonts w:hint="eastAsia" w:ascii="仿宋_GB2312" w:hAnsi="仿宋"/>
          <w:color w:val="auto"/>
          <w:szCs w:val="32"/>
          <w:highlight w:val="none"/>
          <w:lang w:val="en-US" w:eastAsia="zh-CN"/>
        </w:rPr>
        <w:t>471.25</w:t>
      </w:r>
      <w:r>
        <w:rPr>
          <w:rFonts w:hint="eastAsia" w:ascii="仿宋_GB2312" w:hAnsi="仿宋"/>
          <w:color w:val="auto"/>
          <w:szCs w:val="32"/>
          <w:highlight w:val="none"/>
        </w:rPr>
        <w:t>万元，增长</w:t>
      </w:r>
      <w:r>
        <w:rPr>
          <w:rFonts w:hint="eastAsia" w:ascii="仿宋_GB2312" w:hAnsi="仿宋"/>
          <w:color w:val="auto"/>
          <w:szCs w:val="32"/>
          <w:highlight w:val="none"/>
          <w:lang w:val="en-US" w:eastAsia="zh-CN"/>
        </w:rPr>
        <w:t>34.23</w:t>
      </w:r>
      <w:r>
        <w:rPr>
          <w:rFonts w:hint="eastAsia" w:ascii="仿宋_GB2312" w:hAnsi="仿宋"/>
          <w:color w:val="auto"/>
          <w:szCs w:val="32"/>
          <w:highlight w:val="none"/>
        </w:rPr>
        <w:t>%，主要原因：一是</w:t>
      </w:r>
      <w:r>
        <w:rPr>
          <w:rFonts w:hint="eastAsia" w:ascii="仿宋_GB2312" w:hAnsi="仿宋"/>
          <w:color w:val="auto"/>
          <w:szCs w:val="32"/>
          <w:highlight w:val="none"/>
          <w:lang w:eastAsia="zh-CN"/>
        </w:rPr>
        <w:t>人员经费增加</w:t>
      </w:r>
      <w:r>
        <w:rPr>
          <w:rFonts w:hint="eastAsia" w:ascii="仿宋_GB2312" w:hAnsi="仿宋"/>
          <w:color w:val="auto"/>
          <w:szCs w:val="32"/>
          <w:highlight w:val="none"/>
        </w:rPr>
        <w:t>；二是</w:t>
      </w:r>
      <w:r>
        <w:rPr>
          <w:rFonts w:hint="eastAsia" w:ascii="仿宋_GB2312" w:hAnsi="仿宋"/>
          <w:color w:val="auto"/>
          <w:szCs w:val="32"/>
          <w:highlight w:val="none"/>
          <w:lang w:eastAsia="zh-CN"/>
        </w:rPr>
        <w:t>对上市企业奖补资金增加</w:t>
      </w:r>
      <w:r>
        <w:rPr>
          <w:rFonts w:hint="eastAsia" w:ascii="仿宋_GB2312" w:hAnsi="仿宋"/>
          <w:color w:val="auto"/>
          <w:szCs w:val="32"/>
          <w:highlight w:val="none"/>
        </w:rPr>
        <w:t>。</w:t>
      </w:r>
    </w:p>
    <w:p>
      <w:pPr>
        <w:ind w:firstLine="628" w:firstLineChars="200"/>
        <w:rPr>
          <w:rFonts w:hint="eastAsia" w:ascii="仿宋_GB2312" w:hAnsi="仿宋"/>
          <w:b/>
          <w:color w:val="auto"/>
          <w:szCs w:val="32"/>
          <w:highlight w:val="none"/>
        </w:rPr>
      </w:pPr>
      <w:r>
        <w:rPr>
          <w:rFonts w:hint="eastAsia" w:ascii="仿宋_GB2312" w:hAnsi="仿宋"/>
          <w:b/>
          <w:color w:val="auto"/>
          <w:szCs w:val="32"/>
          <w:highlight w:val="none"/>
        </w:rPr>
        <w:t>（二）一般公共预算财政拨款支出决算结构情况。</w:t>
      </w:r>
    </w:p>
    <w:p>
      <w:pPr>
        <w:ind w:firstLine="628" w:firstLineChars="200"/>
        <w:rPr>
          <w:rFonts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年度一般公共预算财政拨款支出</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万元，主要用于以下方面：</w:t>
      </w:r>
      <w:r>
        <w:rPr>
          <w:rFonts w:hint="eastAsia" w:ascii="仿宋_GB2312" w:hAnsi="仿宋"/>
          <w:b/>
          <w:color w:val="auto"/>
          <w:szCs w:val="32"/>
          <w:highlight w:val="none"/>
        </w:rPr>
        <w:t>一般公共服务（类）</w:t>
      </w:r>
      <w:r>
        <w:rPr>
          <w:rFonts w:hint="eastAsia" w:ascii="仿宋_GB2312" w:hAnsi="仿宋"/>
          <w:color w:val="auto"/>
          <w:szCs w:val="32"/>
          <w:highlight w:val="none"/>
        </w:rPr>
        <w:t>支出</w:t>
      </w:r>
      <w:r>
        <w:rPr>
          <w:rFonts w:hint="eastAsia" w:ascii="仿宋_GB2312" w:hAnsi="仿宋"/>
          <w:color w:val="auto"/>
          <w:szCs w:val="32"/>
          <w:highlight w:val="none"/>
          <w:lang w:val="en-US" w:eastAsia="zh-CN"/>
        </w:rPr>
        <w:t>50.08</w:t>
      </w:r>
      <w:r>
        <w:rPr>
          <w:rFonts w:hint="eastAsia" w:ascii="仿宋_GB2312" w:hAnsi="仿宋"/>
          <w:color w:val="auto"/>
          <w:szCs w:val="32"/>
          <w:highlight w:val="none"/>
        </w:rPr>
        <w:t>万元，占</w:t>
      </w:r>
      <w:r>
        <w:rPr>
          <w:rFonts w:hint="eastAsia" w:ascii="仿宋_GB2312" w:hAnsi="仿宋"/>
          <w:color w:val="auto"/>
          <w:szCs w:val="32"/>
          <w:highlight w:val="none"/>
          <w:lang w:val="en-US" w:eastAsia="zh-CN"/>
        </w:rPr>
        <w:t>2.71</w:t>
      </w:r>
      <w:r>
        <w:rPr>
          <w:rFonts w:hint="eastAsia" w:ascii="仿宋_GB2312" w:hAnsi="仿宋"/>
          <w:color w:val="auto"/>
          <w:szCs w:val="32"/>
          <w:highlight w:val="none"/>
        </w:rPr>
        <w:t>%;</w:t>
      </w:r>
      <w:r>
        <w:rPr>
          <w:rFonts w:hint="eastAsia" w:ascii="仿宋_GB2312" w:hAnsi="仿宋"/>
          <w:b/>
          <w:color w:val="auto"/>
          <w:szCs w:val="32"/>
          <w:highlight w:val="none"/>
        </w:rPr>
        <w:t>社会保障和就业支出（类）</w:t>
      </w:r>
      <w:r>
        <w:rPr>
          <w:rFonts w:hint="eastAsia" w:ascii="仿宋_GB2312" w:hAnsi="仿宋"/>
          <w:color w:val="auto"/>
          <w:szCs w:val="32"/>
          <w:highlight w:val="none"/>
        </w:rPr>
        <w:t>支出45.05万元，占</w:t>
      </w:r>
      <w:r>
        <w:rPr>
          <w:rFonts w:hint="eastAsia" w:ascii="仿宋_GB2312" w:hAnsi="仿宋"/>
          <w:color w:val="auto"/>
          <w:szCs w:val="32"/>
          <w:highlight w:val="none"/>
          <w:lang w:val="en-US" w:eastAsia="zh-CN"/>
        </w:rPr>
        <w:t>2.43</w:t>
      </w:r>
      <w:r>
        <w:rPr>
          <w:rFonts w:hint="eastAsia" w:ascii="仿宋_GB2312" w:hAnsi="仿宋"/>
          <w:color w:val="auto"/>
          <w:szCs w:val="32"/>
          <w:highlight w:val="none"/>
        </w:rPr>
        <w:t>%；</w:t>
      </w:r>
      <w:r>
        <w:rPr>
          <w:rFonts w:hint="eastAsia" w:ascii="仿宋_GB2312" w:hAnsi="仿宋"/>
          <w:b/>
          <w:color w:val="auto"/>
          <w:szCs w:val="32"/>
          <w:highlight w:val="none"/>
        </w:rPr>
        <w:t>卫生健康支出（类）</w:t>
      </w:r>
      <w:r>
        <w:rPr>
          <w:rFonts w:hint="eastAsia" w:ascii="仿宋_GB2312" w:hAnsi="仿宋"/>
          <w:color w:val="auto"/>
          <w:szCs w:val="32"/>
          <w:highlight w:val="none"/>
        </w:rPr>
        <w:t>支出9.91万元，占</w:t>
      </w:r>
      <w:r>
        <w:rPr>
          <w:rFonts w:hint="eastAsia" w:ascii="仿宋_GB2312" w:hAnsi="仿宋"/>
          <w:color w:val="auto"/>
          <w:szCs w:val="32"/>
          <w:highlight w:val="none"/>
          <w:lang w:val="en-US" w:eastAsia="zh-CN"/>
        </w:rPr>
        <w:t>0.54</w:t>
      </w:r>
      <w:r>
        <w:rPr>
          <w:rFonts w:hint="eastAsia" w:ascii="仿宋_GB2312" w:hAnsi="仿宋"/>
          <w:color w:val="auto"/>
          <w:szCs w:val="32"/>
          <w:highlight w:val="none"/>
        </w:rPr>
        <w:t>%；</w:t>
      </w:r>
      <w:r>
        <w:rPr>
          <w:rFonts w:hint="eastAsia" w:ascii="仿宋_GB2312" w:hAnsi="仿宋"/>
          <w:b/>
          <w:color w:val="auto"/>
          <w:szCs w:val="32"/>
          <w:highlight w:val="none"/>
        </w:rPr>
        <w:t>金融支出（类）</w:t>
      </w:r>
      <w:r>
        <w:rPr>
          <w:rFonts w:hint="eastAsia" w:ascii="仿宋_GB2312" w:hAnsi="仿宋"/>
          <w:color w:val="auto"/>
          <w:szCs w:val="32"/>
          <w:highlight w:val="none"/>
        </w:rPr>
        <w:t>支出1,713.61万元，占</w:t>
      </w:r>
      <w:r>
        <w:rPr>
          <w:rFonts w:hint="eastAsia" w:ascii="仿宋_GB2312" w:hAnsi="仿宋"/>
          <w:color w:val="auto"/>
          <w:szCs w:val="32"/>
          <w:highlight w:val="none"/>
          <w:lang w:val="en-US" w:eastAsia="zh-CN"/>
        </w:rPr>
        <w:t>92.73</w:t>
      </w:r>
      <w:r>
        <w:rPr>
          <w:rFonts w:hint="eastAsia" w:ascii="仿宋_GB2312" w:hAnsi="仿宋"/>
          <w:color w:val="auto"/>
          <w:szCs w:val="32"/>
          <w:highlight w:val="none"/>
        </w:rPr>
        <w:t>%；</w:t>
      </w:r>
      <w:r>
        <w:rPr>
          <w:rFonts w:hint="eastAsia" w:ascii="仿宋_GB2312" w:hAnsi="仿宋"/>
          <w:b/>
          <w:color w:val="auto"/>
          <w:szCs w:val="32"/>
          <w:highlight w:val="none"/>
        </w:rPr>
        <w:t>住房保障（类）</w:t>
      </w:r>
      <w:r>
        <w:rPr>
          <w:rFonts w:hint="eastAsia" w:ascii="仿宋_GB2312" w:hAnsi="仿宋"/>
          <w:color w:val="auto"/>
          <w:szCs w:val="32"/>
          <w:highlight w:val="none"/>
        </w:rPr>
        <w:t>支出23.22万元，占</w:t>
      </w:r>
      <w:r>
        <w:rPr>
          <w:rFonts w:hint="eastAsia" w:ascii="仿宋_GB2312" w:hAnsi="仿宋"/>
          <w:color w:val="auto"/>
          <w:szCs w:val="32"/>
          <w:highlight w:val="none"/>
          <w:lang w:val="en-US" w:eastAsia="zh-CN"/>
        </w:rPr>
        <w:t>1.26</w:t>
      </w:r>
      <w:r>
        <w:rPr>
          <w:rFonts w:hint="eastAsia" w:ascii="仿宋_GB2312" w:hAnsi="仿宋"/>
          <w:color w:val="auto"/>
          <w:szCs w:val="32"/>
          <w:highlight w:val="none"/>
        </w:rPr>
        <w:t>%。</w:t>
      </w:r>
    </w:p>
    <w:p>
      <w:pPr>
        <w:ind w:firstLine="628" w:firstLineChars="200"/>
        <w:rPr>
          <w:rFonts w:hint="eastAsia" w:ascii="仿宋_GB2312" w:hAnsi="仿宋"/>
          <w:b/>
          <w:bCs/>
          <w:color w:val="auto"/>
          <w:szCs w:val="32"/>
          <w:highlight w:val="none"/>
        </w:rPr>
      </w:pPr>
      <w:r>
        <w:rPr>
          <w:rFonts w:hint="eastAsia" w:ascii="仿宋_GB2312" w:hAnsi="仿宋"/>
          <w:b/>
          <w:bCs/>
          <w:color w:val="auto"/>
          <w:szCs w:val="32"/>
          <w:highlight w:val="none"/>
        </w:rPr>
        <w:t>（三）一般公共预算财政拨款支出决算具体情况。</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年度一般公共预算财政拨款支出年初预算为</w:t>
      </w:r>
      <w:r>
        <w:rPr>
          <w:rFonts w:hint="eastAsia" w:ascii="仿宋_GB2312" w:hAnsi="仿宋"/>
          <w:color w:val="auto"/>
          <w:szCs w:val="32"/>
          <w:highlight w:val="none"/>
          <w:lang w:val="en-US" w:eastAsia="zh-CN"/>
        </w:rPr>
        <w:t>1083.7</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1847.86</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170.51</w:t>
      </w:r>
      <w:r>
        <w:rPr>
          <w:rFonts w:hint="eastAsia" w:ascii="仿宋_GB2312" w:hAnsi="仿宋"/>
          <w:color w:val="auto"/>
          <w:szCs w:val="32"/>
          <w:highlight w:val="none"/>
        </w:rPr>
        <w:t>%。决算数大于预算数的主要原因:一是</w:t>
      </w:r>
      <w:r>
        <w:rPr>
          <w:rFonts w:hint="eastAsia" w:ascii="仿宋_GB2312" w:hAnsi="仿宋"/>
          <w:color w:val="auto"/>
          <w:szCs w:val="32"/>
          <w:highlight w:val="none"/>
          <w:lang w:eastAsia="zh-CN"/>
        </w:rPr>
        <w:t>人员经费增加</w:t>
      </w:r>
      <w:r>
        <w:rPr>
          <w:rFonts w:hint="eastAsia" w:ascii="仿宋_GB2312" w:hAnsi="仿宋"/>
          <w:color w:val="auto"/>
          <w:szCs w:val="32"/>
          <w:highlight w:val="none"/>
        </w:rPr>
        <w:t>；二是</w:t>
      </w:r>
      <w:r>
        <w:rPr>
          <w:rFonts w:hint="eastAsia" w:ascii="仿宋_GB2312" w:hAnsi="仿宋"/>
          <w:color w:val="auto"/>
          <w:szCs w:val="32"/>
          <w:highlight w:val="none"/>
          <w:lang w:eastAsia="zh-CN"/>
        </w:rPr>
        <w:t>对上市企业奖补资金增加</w:t>
      </w:r>
      <w:r>
        <w:rPr>
          <w:rFonts w:hint="eastAsia" w:ascii="仿宋_GB2312" w:hAnsi="仿宋"/>
          <w:color w:val="auto"/>
          <w:szCs w:val="32"/>
          <w:highlight w:val="none"/>
        </w:rPr>
        <w:t>。其中:基本支出253.78万元，占</w:t>
      </w:r>
      <w:r>
        <w:rPr>
          <w:rFonts w:hint="eastAsia" w:ascii="仿宋_GB2312" w:hAnsi="仿宋"/>
          <w:color w:val="auto"/>
          <w:szCs w:val="32"/>
          <w:highlight w:val="none"/>
          <w:lang w:val="en-US" w:eastAsia="zh-CN"/>
        </w:rPr>
        <w:t>13.73</w:t>
      </w:r>
      <w:r>
        <w:rPr>
          <w:rFonts w:hint="eastAsia" w:ascii="仿宋_GB2312" w:hAnsi="仿宋"/>
          <w:color w:val="auto"/>
          <w:szCs w:val="32"/>
          <w:highlight w:val="none"/>
        </w:rPr>
        <w:t>%；项目支出1,594.08万元，占</w:t>
      </w:r>
      <w:r>
        <w:rPr>
          <w:rFonts w:hint="eastAsia" w:ascii="仿宋_GB2312" w:hAnsi="仿宋"/>
          <w:color w:val="auto"/>
          <w:szCs w:val="32"/>
          <w:highlight w:val="none"/>
          <w:lang w:val="en-US" w:eastAsia="zh-CN"/>
        </w:rPr>
        <w:t>86.27</w:t>
      </w:r>
      <w:r>
        <w:rPr>
          <w:rFonts w:hint="eastAsia" w:ascii="仿宋_GB2312" w:hAnsi="仿宋"/>
          <w:color w:val="auto"/>
          <w:szCs w:val="32"/>
          <w:highlight w:val="none"/>
        </w:rPr>
        <w:t>%。具体情况如下：</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rPr>
        <w:t>1.</w:t>
      </w:r>
      <w:r>
        <w:rPr>
          <w:rFonts w:hint="eastAsia" w:ascii="仿宋_GB2312" w:hAnsi="仿宋"/>
          <w:b/>
          <w:color w:val="auto"/>
          <w:szCs w:val="32"/>
          <w:highlight w:val="none"/>
        </w:rPr>
        <w:t>一般公共服务（类）政府办公厅（室）及相关机构事务（款）其他政府办公厅（室）及相关机构事务支出（项）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58.5</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56.08</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95.86</w:t>
      </w:r>
      <w:r>
        <w:rPr>
          <w:rFonts w:hint="eastAsia" w:ascii="仿宋_GB2312" w:hAnsi="仿宋"/>
          <w:color w:val="auto"/>
          <w:szCs w:val="32"/>
          <w:highlight w:val="none"/>
        </w:rPr>
        <w:t>%，决算数</w:t>
      </w:r>
      <w:r>
        <w:rPr>
          <w:rFonts w:hint="eastAsia" w:ascii="仿宋_GB2312" w:hAnsi="仿宋"/>
          <w:color w:val="auto"/>
          <w:szCs w:val="32"/>
          <w:highlight w:val="none"/>
          <w:lang w:eastAsia="zh-CN"/>
        </w:rPr>
        <w:t>小于</w:t>
      </w:r>
      <w:r>
        <w:rPr>
          <w:rFonts w:hint="eastAsia" w:ascii="仿宋_GB2312" w:hAnsi="仿宋"/>
          <w:color w:val="auto"/>
          <w:szCs w:val="32"/>
          <w:highlight w:val="none"/>
        </w:rPr>
        <w:t>预算数的主要原因是</w:t>
      </w:r>
      <w:r>
        <w:rPr>
          <w:rFonts w:hint="eastAsia" w:ascii="仿宋_GB2312" w:hAnsi="仿宋"/>
          <w:color w:val="auto"/>
          <w:szCs w:val="32"/>
          <w:highlight w:val="none"/>
          <w:lang w:eastAsia="zh-CN"/>
        </w:rPr>
        <w:t>节约开支</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rPr>
        <w:t>2.</w:t>
      </w:r>
      <w:r>
        <w:rPr>
          <w:rFonts w:hint="eastAsia" w:ascii="仿宋_GB2312" w:hAnsi="仿宋"/>
          <w:b/>
          <w:color w:val="auto"/>
          <w:szCs w:val="32"/>
          <w:highlight w:val="none"/>
        </w:rPr>
        <w:t>社会保障和就业支出（类）行政事业单位养老支出（款）一般行政管理事务行政单位离退休（项）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5.35</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5.35</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100</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rPr>
        <w:t>3.</w:t>
      </w:r>
      <w:r>
        <w:rPr>
          <w:rFonts w:hint="eastAsia" w:ascii="仿宋_GB2312" w:hAnsi="仿宋"/>
          <w:b/>
          <w:color w:val="auto"/>
          <w:szCs w:val="32"/>
          <w:highlight w:val="none"/>
        </w:rPr>
        <w:t>社会保障和就业支出（类）行政事业单位养老支出（款）机关事业单位基本养老保险缴费支出（项）。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20.23</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25.63</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126.69</w:t>
      </w:r>
      <w:r>
        <w:rPr>
          <w:rFonts w:hint="eastAsia" w:ascii="仿宋_GB2312" w:hAnsi="仿宋"/>
          <w:color w:val="auto"/>
          <w:szCs w:val="32"/>
          <w:highlight w:val="none"/>
        </w:rPr>
        <w:t>%，决算数大于预算数的主要原因是</w:t>
      </w:r>
      <w:r>
        <w:rPr>
          <w:rFonts w:hint="eastAsia" w:ascii="仿宋_GB2312" w:hAnsi="仿宋"/>
          <w:color w:val="auto"/>
          <w:szCs w:val="32"/>
          <w:highlight w:val="none"/>
          <w:lang w:eastAsia="zh-CN"/>
        </w:rPr>
        <w:t>补</w:t>
      </w:r>
      <w:r>
        <w:rPr>
          <w:rFonts w:hint="eastAsia" w:ascii="仿宋_GB2312" w:hAnsi="仿宋"/>
          <w:color w:val="auto"/>
          <w:szCs w:val="32"/>
          <w:highlight w:val="none"/>
          <w:lang w:val="en-US" w:eastAsia="zh-CN"/>
        </w:rPr>
        <w:t>2022年基础绩效增加的养老保险单位部分</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rPr>
        <w:t>4.</w:t>
      </w:r>
      <w:r>
        <w:rPr>
          <w:rFonts w:hint="eastAsia" w:ascii="仿宋_GB2312" w:hAnsi="仿宋"/>
          <w:b/>
          <w:color w:val="auto"/>
          <w:szCs w:val="32"/>
          <w:highlight w:val="none"/>
        </w:rPr>
        <w:t>社会保障和就业支出（类）行政事业单位养老支出（款）机关事业单位职业年金缴费支出（项）。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10.12</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14.07</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139.03</w:t>
      </w:r>
      <w:r>
        <w:rPr>
          <w:rFonts w:hint="eastAsia" w:ascii="仿宋_GB2312" w:hAnsi="仿宋"/>
          <w:color w:val="auto"/>
          <w:szCs w:val="32"/>
          <w:highlight w:val="none"/>
        </w:rPr>
        <w:t>%，决算数大于预算数的主要原因是</w:t>
      </w:r>
      <w:r>
        <w:rPr>
          <w:rFonts w:hint="eastAsia" w:ascii="仿宋_GB2312" w:hAnsi="仿宋"/>
          <w:color w:val="auto"/>
          <w:szCs w:val="32"/>
          <w:highlight w:val="none"/>
          <w:lang w:eastAsia="zh-CN"/>
        </w:rPr>
        <w:t>补</w:t>
      </w:r>
      <w:r>
        <w:rPr>
          <w:rFonts w:hint="eastAsia" w:ascii="仿宋_GB2312" w:hAnsi="仿宋"/>
          <w:color w:val="auto"/>
          <w:szCs w:val="32"/>
          <w:highlight w:val="none"/>
          <w:lang w:val="en-US" w:eastAsia="zh-CN"/>
        </w:rPr>
        <w:t>2022年基础绩效增加的职业年金单位部分</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rPr>
        <w:t>5．</w:t>
      </w:r>
      <w:r>
        <w:rPr>
          <w:rFonts w:hint="eastAsia" w:ascii="仿宋_GB2312" w:hAnsi="仿宋"/>
          <w:b/>
          <w:color w:val="auto"/>
          <w:szCs w:val="32"/>
          <w:highlight w:val="none"/>
        </w:rPr>
        <w:t>卫生健康支出（类）行政事业单位医疗（款）行政单位医疗（项）。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9.91</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9.91</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100</w:t>
      </w:r>
      <w:r>
        <w:rPr>
          <w:rFonts w:hint="eastAsia" w:ascii="仿宋_GB2312" w:hAnsi="仿宋"/>
          <w:color w:val="auto"/>
          <w:szCs w:val="32"/>
          <w:highlight w:val="none"/>
        </w:rPr>
        <w:t>%。</w:t>
      </w:r>
    </w:p>
    <w:p>
      <w:pPr>
        <w:numPr>
          <w:ilvl w:val="0"/>
          <w:numId w:val="1"/>
        </w:numPr>
        <w:ind w:firstLine="628" w:firstLineChars="200"/>
        <w:rPr>
          <w:rFonts w:hint="eastAsia" w:ascii="仿宋_GB2312" w:hAnsi="仿宋"/>
          <w:color w:val="auto"/>
          <w:szCs w:val="32"/>
          <w:highlight w:val="none"/>
        </w:rPr>
      </w:pPr>
      <w:r>
        <w:rPr>
          <w:rFonts w:hint="eastAsia" w:ascii="仿宋_GB2312" w:hAnsi="仿宋"/>
          <w:b/>
          <w:color w:val="auto"/>
          <w:szCs w:val="32"/>
          <w:highlight w:val="none"/>
        </w:rPr>
        <w:t>金融支出（类）金融部门行政支出（款）行政运行（项）。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157.21</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175.61</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111.7</w:t>
      </w:r>
      <w:r>
        <w:rPr>
          <w:rFonts w:hint="eastAsia" w:ascii="仿宋_GB2312" w:hAnsi="仿宋"/>
          <w:color w:val="auto"/>
          <w:szCs w:val="32"/>
          <w:highlight w:val="none"/>
        </w:rPr>
        <w:t>X%，决算数大于预算数的主要原因是</w:t>
      </w:r>
      <w:r>
        <w:rPr>
          <w:rFonts w:hint="eastAsia" w:ascii="仿宋_GB2312" w:hAnsi="仿宋"/>
          <w:color w:val="auto"/>
          <w:szCs w:val="32"/>
          <w:highlight w:val="none"/>
          <w:lang w:eastAsia="zh-CN"/>
        </w:rPr>
        <w:t>目标考核不在年初预算中</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val="en-US" w:eastAsia="zh-CN"/>
        </w:rPr>
        <w:t>7</w:t>
      </w:r>
      <w:r>
        <w:rPr>
          <w:rFonts w:hint="eastAsia" w:ascii="仿宋_GB2312" w:hAnsi="仿宋"/>
          <w:color w:val="auto"/>
          <w:szCs w:val="32"/>
          <w:highlight w:val="none"/>
        </w:rPr>
        <w:t>．</w:t>
      </w:r>
      <w:r>
        <w:rPr>
          <w:rFonts w:hint="eastAsia" w:ascii="仿宋_GB2312" w:hAnsi="仿宋"/>
          <w:b/>
          <w:color w:val="auto"/>
          <w:szCs w:val="32"/>
          <w:highlight w:val="none"/>
        </w:rPr>
        <w:t>金融支出（类）金融部门监管支出（款）金融行业电子化建设（项）。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28</w:t>
      </w:r>
      <w:r>
        <w:rPr>
          <w:rFonts w:hint="eastAsia" w:ascii="仿宋_GB2312" w:hAnsi="仿宋"/>
          <w:color w:val="auto"/>
          <w:szCs w:val="32"/>
          <w:highlight w:val="none"/>
        </w:rPr>
        <w:t>万元，决算数大于预算数的主要原因是</w:t>
      </w:r>
      <w:r>
        <w:rPr>
          <w:rFonts w:hint="eastAsia" w:ascii="仿宋_GB2312" w:hAnsi="仿宋"/>
          <w:color w:val="auto"/>
          <w:szCs w:val="32"/>
          <w:highlight w:val="none"/>
          <w:lang w:eastAsia="zh-CN"/>
        </w:rPr>
        <w:t>项目资金不在年初预算中</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color w:val="auto"/>
          <w:highlight w:val="none"/>
          <w:lang w:val="en-US" w:eastAsia="zh-CN"/>
        </w:rPr>
        <w:t>8</w:t>
      </w:r>
      <w:r>
        <w:rPr>
          <w:rFonts w:hint="eastAsia" w:ascii="仿宋_GB2312" w:hAnsi="仿宋"/>
          <w:color w:val="auto"/>
          <w:szCs w:val="32"/>
          <w:highlight w:val="none"/>
        </w:rPr>
        <w:t>．</w:t>
      </w:r>
      <w:r>
        <w:rPr>
          <w:rFonts w:hint="eastAsia" w:ascii="仿宋_GB2312" w:hAnsi="仿宋"/>
          <w:b/>
          <w:color w:val="auto"/>
          <w:szCs w:val="32"/>
          <w:highlight w:val="none"/>
        </w:rPr>
        <w:t>金融支出（类）金融发展支出（款）其他金融发展支出（项）。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800</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1510</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188.75</w:t>
      </w:r>
      <w:r>
        <w:rPr>
          <w:rFonts w:hint="eastAsia" w:ascii="仿宋_GB2312" w:hAnsi="仿宋"/>
          <w:color w:val="auto"/>
          <w:szCs w:val="32"/>
          <w:highlight w:val="none"/>
        </w:rPr>
        <w:t>%，决算数大于预算数的主要原因是</w:t>
      </w:r>
      <w:r>
        <w:rPr>
          <w:rFonts w:hint="eastAsia" w:ascii="仿宋_GB2312" w:hAnsi="仿宋"/>
          <w:color w:val="auto"/>
          <w:szCs w:val="32"/>
          <w:highlight w:val="none"/>
          <w:lang w:eastAsia="zh-CN"/>
        </w:rPr>
        <w:t>项目资金增加</w:t>
      </w:r>
      <w:r>
        <w:rPr>
          <w:rFonts w:hint="eastAsia" w:ascii="仿宋_GB2312" w:hAnsi="仿宋"/>
          <w:color w:val="auto"/>
          <w:szCs w:val="32"/>
          <w:highlight w:val="none"/>
        </w:rPr>
        <w:t>。</w:t>
      </w:r>
    </w:p>
    <w:p>
      <w:pPr>
        <w:ind w:firstLine="628" w:firstLineChars="200"/>
        <w:rPr>
          <w:rFonts w:hint="eastAsia" w:ascii="仿宋_GB2312" w:hAnsi="仿宋"/>
          <w:color w:val="auto"/>
          <w:szCs w:val="32"/>
          <w:highlight w:val="none"/>
        </w:rPr>
      </w:pPr>
      <w:r>
        <w:rPr>
          <w:rFonts w:hint="eastAsia"/>
          <w:color w:val="auto"/>
          <w:highlight w:val="none"/>
          <w:lang w:val="en-US" w:eastAsia="zh-CN"/>
        </w:rPr>
        <w:t xml:space="preserve"> 9</w:t>
      </w:r>
      <w:r>
        <w:rPr>
          <w:rFonts w:hint="eastAsia" w:ascii="仿宋_GB2312" w:hAnsi="仿宋"/>
          <w:color w:val="auto"/>
          <w:szCs w:val="32"/>
          <w:highlight w:val="none"/>
        </w:rPr>
        <w:t>．</w:t>
      </w:r>
      <w:r>
        <w:rPr>
          <w:rFonts w:hint="eastAsia" w:ascii="仿宋_GB2312" w:hAnsi="仿宋"/>
          <w:b/>
          <w:color w:val="auto"/>
          <w:szCs w:val="32"/>
          <w:highlight w:val="none"/>
        </w:rPr>
        <w:t>住房保障支出（类）住房改革支出（款）住房公积金（项）。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15.17</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15.17</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100</w:t>
      </w:r>
      <w:r>
        <w:rPr>
          <w:rFonts w:hint="eastAsia" w:ascii="仿宋_GB2312" w:hAnsi="仿宋"/>
          <w:color w:val="auto"/>
          <w:szCs w:val="32"/>
          <w:highlight w:val="none"/>
        </w:rPr>
        <w:t>%。</w:t>
      </w:r>
    </w:p>
    <w:p>
      <w:pPr>
        <w:ind w:firstLine="628" w:firstLineChars="200"/>
        <w:rPr>
          <w:rFonts w:hint="eastAsia" w:ascii="黑体" w:hAnsi="仿宋" w:eastAsia="黑体"/>
          <w:color w:val="auto"/>
          <w:szCs w:val="32"/>
          <w:highlight w:val="none"/>
        </w:rPr>
      </w:pPr>
      <w:r>
        <w:rPr>
          <w:rFonts w:hint="eastAsia"/>
          <w:color w:val="auto"/>
          <w:highlight w:val="none"/>
          <w:lang w:val="en-US" w:eastAsia="zh-CN"/>
        </w:rPr>
        <w:t xml:space="preserve"> 10</w:t>
      </w:r>
      <w:r>
        <w:rPr>
          <w:rFonts w:hint="eastAsia" w:ascii="仿宋_GB2312" w:hAnsi="仿宋"/>
          <w:color w:val="auto"/>
          <w:szCs w:val="32"/>
          <w:highlight w:val="none"/>
        </w:rPr>
        <w:t>．</w:t>
      </w:r>
      <w:r>
        <w:rPr>
          <w:rFonts w:hint="eastAsia" w:ascii="仿宋_GB2312" w:hAnsi="仿宋"/>
          <w:b/>
          <w:color w:val="auto"/>
          <w:szCs w:val="32"/>
          <w:highlight w:val="none"/>
        </w:rPr>
        <w:t>住房保障支出（类）住房改革支出（款）提租补贴（项）。</w:t>
      </w:r>
      <w:r>
        <w:rPr>
          <w:rFonts w:hint="eastAsia" w:ascii="仿宋_GB2312" w:hAnsi="仿宋"/>
          <w:color w:val="auto"/>
          <w:szCs w:val="32"/>
          <w:highlight w:val="none"/>
        </w:rPr>
        <w:t>年初预算为</w:t>
      </w:r>
      <w:r>
        <w:rPr>
          <w:rFonts w:hint="eastAsia" w:ascii="仿宋_GB2312" w:hAnsi="仿宋"/>
          <w:color w:val="auto"/>
          <w:szCs w:val="32"/>
          <w:highlight w:val="none"/>
          <w:lang w:val="en-US" w:eastAsia="zh-CN"/>
        </w:rPr>
        <w:t>7.21</w:t>
      </w:r>
      <w:r>
        <w:rPr>
          <w:rFonts w:hint="eastAsia" w:ascii="仿宋_GB2312" w:hAnsi="仿宋"/>
          <w:color w:val="auto"/>
          <w:szCs w:val="32"/>
          <w:highlight w:val="none"/>
        </w:rPr>
        <w:t>万元，支出决算为</w:t>
      </w:r>
      <w:r>
        <w:rPr>
          <w:rFonts w:hint="eastAsia" w:ascii="仿宋_GB2312" w:hAnsi="仿宋"/>
          <w:color w:val="auto"/>
          <w:szCs w:val="32"/>
          <w:highlight w:val="none"/>
          <w:lang w:val="en-US" w:eastAsia="zh-CN"/>
        </w:rPr>
        <w:t>8.04</w:t>
      </w:r>
      <w:r>
        <w:rPr>
          <w:rFonts w:hint="eastAsia" w:ascii="仿宋_GB2312" w:hAnsi="仿宋"/>
          <w:color w:val="auto"/>
          <w:szCs w:val="32"/>
          <w:highlight w:val="none"/>
        </w:rPr>
        <w:t>万元，完成年初预算的</w:t>
      </w:r>
      <w:r>
        <w:rPr>
          <w:rFonts w:hint="eastAsia" w:ascii="仿宋_GB2312" w:hAnsi="仿宋"/>
          <w:color w:val="auto"/>
          <w:szCs w:val="32"/>
          <w:highlight w:val="none"/>
          <w:lang w:val="en-US" w:eastAsia="zh-CN"/>
        </w:rPr>
        <w:t>115.12</w:t>
      </w:r>
      <w:r>
        <w:rPr>
          <w:rFonts w:hint="eastAsia" w:ascii="仿宋_GB2312" w:hAnsi="仿宋"/>
          <w:color w:val="auto"/>
          <w:szCs w:val="32"/>
          <w:highlight w:val="none"/>
        </w:rPr>
        <w:t>%，决算数大于预算数的主要原因是</w:t>
      </w:r>
      <w:r>
        <w:rPr>
          <w:rFonts w:hint="eastAsia" w:ascii="仿宋_GB2312" w:hAnsi="仿宋"/>
          <w:color w:val="auto"/>
          <w:szCs w:val="32"/>
          <w:highlight w:val="none"/>
          <w:lang w:eastAsia="zh-CN"/>
        </w:rPr>
        <w:t>提租补贴按照当年审批金额调整</w:t>
      </w:r>
      <w:r>
        <w:rPr>
          <w:rFonts w:hint="eastAsia" w:ascii="仿宋_GB2312" w:hAnsi="仿宋"/>
          <w:color w:val="auto"/>
          <w:szCs w:val="32"/>
          <w:highlight w:val="none"/>
        </w:rPr>
        <w:t>。</w:t>
      </w:r>
    </w:p>
    <w:p>
      <w:pPr>
        <w:ind w:firstLine="628" w:firstLineChars="200"/>
        <w:rPr>
          <w:rFonts w:hint="eastAsia" w:ascii="黑体" w:hAnsi="仿宋" w:eastAsia="黑体"/>
          <w:color w:val="auto"/>
          <w:szCs w:val="32"/>
          <w:highlight w:val="none"/>
        </w:rPr>
      </w:pPr>
      <w:r>
        <w:rPr>
          <w:rFonts w:hint="eastAsia" w:ascii="黑体" w:hAnsi="仿宋" w:eastAsia="黑体"/>
          <w:color w:val="auto"/>
          <w:szCs w:val="32"/>
          <w:highlight w:val="none"/>
        </w:rPr>
        <w:t>六、一般公共预算财政拨款基本支出决算情况说明</w:t>
      </w:r>
    </w:p>
    <w:p>
      <w:pPr>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年度财政拨款基本支出</w:t>
      </w:r>
      <w:r>
        <w:rPr>
          <w:rFonts w:hint="eastAsia" w:ascii="仿宋_GB2312" w:hAnsi="仿宋"/>
          <w:color w:val="auto"/>
          <w:szCs w:val="32"/>
          <w:highlight w:val="none"/>
          <w:lang w:val="en-US" w:eastAsia="zh-CN"/>
        </w:rPr>
        <w:t>253.78</w:t>
      </w:r>
      <w:r>
        <w:rPr>
          <w:rFonts w:hint="eastAsia" w:ascii="仿宋_GB2312" w:hAnsi="仿宋"/>
          <w:color w:val="auto"/>
          <w:szCs w:val="32"/>
          <w:highlight w:val="none"/>
        </w:rPr>
        <w:t>万元，其中：人员经费232.26万元，主要包括:基本工资、津贴补贴、奖金、机关事业单位基本养老保险</w:t>
      </w:r>
      <w:r>
        <w:rPr>
          <w:rFonts w:hint="eastAsia" w:ascii="仿宋_GB2312" w:hAnsi="仿宋"/>
          <w:color w:val="auto"/>
          <w:szCs w:val="32"/>
          <w:highlight w:val="none"/>
          <w:lang w:eastAsia="zh-CN"/>
        </w:rPr>
        <w:t>缴</w:t>
      </w:r>
      <w:r>
        <w:rPr>
          <w:rFonts w:hint="eastAsia" w:ascii="仿宋_GB2312" w:hAnsi="仿宋"/>
          <w:color w:val="auto"/>
          <w:szCs w:val="32"/>
          <w:highlight w:val="none"/>
        </w:rPr>
        <w:t>费、职业年金缴费、职工基本医疗保险缴费、公务员医疗补助缴费、其他社会保障缴费、住房公积金、其他工资福利支出、退休费、生活补助、医疗费补助、奖励金</w:t>
      </w:r>
      <w:r>
        <w:rPr>
          <w:rFonts w:hint="eastAsia" w:ascii="仿宋_GB2312" w:hAnsi="仿宋"/>
          <w:color w:val="auto"/>
          <w:szCs w:val="32"/>
          <w:highlight w:val="none"/>
          <w:lang w:eastAsia="zh-CN"/>
        </w:rPr>
        <w:t>、其他对个人和家庭的补助支出</w:t>
      </w:r>
      <w:r>
        <w:rPr>
          <w:rFonts w:hint="eastAsia" w:ascii="仿宋_GB2312" w:hAnsi="仿宋"/>
          <w:color w:val="auto"/>
          <w:szCs w:val="32"/>
          <w:highlight w:val="none"/>
        </w:rPr>
        <w:t>；公用经费</w:t>
      </w:r>
      <w:r>
        <w:rPr>
          <w:rFonts w:hint="eastAsia" w:ascii="仿宋_GB2312" w:hAnsi="仿宋"/>
          <w:color w:val="auto"/>
          <w:szCs w:val="32"/>
          <w:highlight w:val="none"/>
          <w:lang w:val="en-US" w:eastAsia="zh-CN"/>
        </w:rPr>
        <w:t>21.52</w:t>
      </w:r>
      <w:r>
        <w:rPr>
          <w:rFonts w:hint="eastAsia" w:ascii="仿宋_GB2312" w:hAnsi="仿宋"/>
          <w:color w:val="auto"/>
          <w:szCs w:val="32"/>
          <w:highlight w:val="none"/>
        </w:rPr>
        <w:t>万元，主要包括：办公费、邮电费、公务接待费、专用材料费、劳务费、工会经费、福利费、其他交通费用、</w:t>
      </w:r>
      <w:r>
        <w:rPr>
          <w:rFonts w:hint="eastAsia" w:ascii="仿宋_GB2312" w:hAnsi="仿宋"/>
          <w:color w:val="auto"/>
          <w:szCs w:val="32"/>
          <w:highlight w:val="none"/>
          <w:lang w:eastAsia="zh-CN"/>
        </w:rPr>
        <w:t>其他商品和服务支出</w:t>
      </w:r>
      <w:r>
        <w:rPr>
          <w:rFonts w:hint="eastAsia" w:ascii="仿宋_GB2312" w:hAnsi="仿宋"/>
          <w:color w:val="auto"/>
          <w:szCs w:val="32"/>
          <w:highlight w:val="none"/>
        </w:rPr>
        <w:t>。</w:t>
      </w:r>
    </w:p>
    <w:p>
      <w:pPr>
        <w:ind w:firstLine="628" w:firstLineChars="200"/>
        <w:rPr>
          <w:rFonts w:hint="eastAsia" w:ascii="黑体" w:hAnsi="黑体" w:eastAsia="黑体"/>
          <w:color w:val="auto"/>
          <w:szCs w:val="32"/>
          <w:highlight w:val="none"/>
        </w:rPr>
      </w:pPr>
      <w:r>
        <w:rPr>
          <w:rFonts w:hint="eastAsia" w:ascii="黑体" w:hAnsi="仿宋" w:eastAsia="黑体"/>
          <w:color w:val="auto"/>
          <w:szCs w:val="32"/>
          <w:highlight w:val="none"/>
        </w:rPr>
        <w:t>七、</w:t>
      </w:r>
      <w:r>
        <w:rPr>
          <w:rFonts w:hint="eastAsia" w:ascii="黑体" w:hAnsi="黑体" w:eastAsia="黑体"/>
          <w:color w:val="auto"/>
          <w:szCs w:val="32"/>
          <w:highlight w:val="none"/>
        </w:rPr>
        <w:t>政府性基金</w:t>
      </w:r>
      <w:r>
        <w:rPr>
          <w:rFonts w:hint="eastAsia" w:ascii="黑体" w:hAnsi="黑体" w:eastAsia="黑体"/>
          <w:color w:val="auto"/>
          <w:szCs w:val="32"/>
          <w:highlight w:val="none"/>
          <w:lang w:eastAsia="zh-CN"/>
        </w:rPr>
        <w:t>预算</w:t>
      </w:r>
      <w:r>
        <w:rPr>
          <w:rFonts w:hint="eastAsia" w:ascii="黑体" w:hAnsi="黑体" w:eastAsia="黑体"/>
          <w:color w:val="auto"/>
          <w:szCs w:val="32"/>
          <w:highlight w:val="none"/>
        </w:rPr>
        <w:t>财政拨款收入支出决算情况说明</w:t>
      </w:r>
    </w:p>
    <w:p>
      <w:pPr>
        <w:ind w:firstLine="628"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eastAsia="zh-CN"/>
        </w:rPr>
        <w:t>淮南市地方金融监督管理局</w:t>
      </w:r>
      <w:r>
        <w:rPr>
          <w:rFonts w:hint="eastAsia" w:ascii="仿宋_GB2312" w:hAnsi="仿宋" w:cs="Times New Roman"/>
          <w:color w:val="auto"/>
          <w:szCs w:val="32"/>
          <w:highlight w:val="none"/>
        </w:rPr>
        <w:t>没有政府性基金</w:t>
      </w:r>
      <w:r>
        <w:rPr>
          <w:rFonts w:hint="eastAsia" w:ascii="仿宋_GB2312" w:hAnsi="仿宋" w:cs="Times New Roman"/>
          <w:color w:val="auto"/>
          <w:szCs w:val="32"/>
          <w:highlight w:val="none"/>
          <w:lang w:eastAsia="zh-CN"/>
        </w:rPr>
        <w:t>预算</w:t>
      </w:r>
      <w:r>
        <w:rPr>
          <w:rFonts w:hint="eastAsia" w:ascii="仿宋_GB2312" w:hAnsi="仿宋" w:cs="Times New Roman"/>
          <w:color w:val="auto"/>
          <w:szCs w:val="32"/>
          <w:highlight w:val="none"/>
        </w:rPr>
        <w:t>收入，也没有使用政府性基金</w:t>
      </w:r>
      <w:r>
        <w:rPr>
          <w:rFonts w:hint="eastAsia" w:ascii="仿宋_GB2312" w:hAnsi="仿宋" w:cs="Times New Roman"/>
          <w:color w:val="auto"/>
          <w:szCs w:val="32"/>
          <w:highlight w:val="none"/>
          <w:lang w:eastAsia="zh-CN"/>
        </w:rPr>
        <w:t>预算</w:t>
      </w:r>
      <w:r>
        <w:rPr>
          <w:rFonts w:hint="eastAsia" w:ascii="仿宋_GB2312" w:hAnsi="仿宋" w:cs="Times New Roman"/>
          <w:color w:val="auto"/>
          <w:szCs w:val="32"/>
          <w:highlight w:val="none"/>
        </w:rPr>
        <w:t>安排的支出</w:t>
      </w:r>
      <w:r>
        <w:rPr>
          <w:rFonts w:hint="eastAsia" w:ascii="仿宋_GB2312" w:hAnsi="仿宋" w:cs="Times New Roman"/>
          <w:color w:val="auto"/>
          <w:szCs w:val="32"/>
          <w:highlight w:val="none"/>
          <w:lang w:eastAsia="zh-CN"/>
        </w:rPr>
        <w:t>。</w:t>
      </w:r>
    </w:p>
    <w:p>
      <w:pPr>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八、国有资本经营预算财政拨款支出情况说明</w:t>
      </w:r>
    </w:p>
    <w:p>
      <w:pPr>
        <w:ind w:firstLine="628"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eastAsia="zh-CN"/>
        </w:rPr>
        <w:t>淮南市地方金融监督管理局</w:t>
      </w:r>
      <w:r>
        <w:rPr>
          <w:rFonts w:hint="eastAsia" w:ascii="仿宋_GB2312" w:hAnsi="仿宋" w:cs="Times New Roman"/>
          <w:color w:val="auto"/>
          <w:szCs w:val="32"/>
          <w:highlight w:val="none"/>
        </w:rPr>
        <w:t>没有使用国有资本经营预算安排的支出</w:t>
      </w:r>
      <w:r>
        <w:rPr>
          <w:rFonts w:hint="eastAsia" w:ascii="仿宋_GB2312" w:hAnsi="仿宋" w:cs="Times New Roman"/>
          <w:color w:val="auto"/>
          <w:szCs w:val="32"/>
          <w:highlight w:val="none"/>
          <w:lang w:eastAsia="zh-CN"/>
        </w:rPr>
        <w:t>。</w:t>
      </w:r>
    </w:p>
    <w:p>
      <w:pPr>
        <w:adjustRightInd w:val="0"/>
        <w:snapToGrid w:val="0"/>
        <w:spacing w:line="600" w:lineRule="exact"/>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九、其他重要事项情况说明</w:t>
      </w:r>
    </w:p>
    <w:p>
      <w:pPr>
        <w:adjustRightInd w:val="0"/>
        <w:snapToGrid w:val="0"/>
        <w:spacing w:line="600" w:lineRule="exact"/>
        <w:ind w:firstLine="628" w:firstLineChars="200"/>
        <w:rPr>
          <w:rFonts w:hint="eastAsia" w:ascii="仿宋_GB2312" w:hAnsi="楷体"/>
          <w:b/>
          <w:color w:val="auto"/>
          <w:szCs w:val="32"/>
          <w:highlight w:val="none"/>
        </w:rPr>
      </w:pPr>
      <w:r>
        <w:rPr>
          <w:rFonts w:hint="eastAsia" w:ascii="仿宋_GB2312" w:hAnsi="楷体"/>
          <w:b/>
          <w:color w:val="auto"/>
          <w:szCs w:val="32"/>
          <w:highlight w:val="none"/>
        </w:rPr>
        <w:t>（一）机关运行经费支出情况。</w:t>
      </w:r>
    </w:p>
    <w:p>
      <w:pPr>
        <w:adjustRightInd w:val="0"/>
        <w:snapToGrid w:val="0"/>
        <w:spacing w:line="600" w:lineRule="exact"/>
        <w:ind w:firstLine="628" w:firstLineChars="200"/>
        <w:rPr>
          <w:rFonts w:hint="eastAsia" w:ascii="仿宋_GB2312" w:hAnsi="仿宋"/>
          <w:color w:val="auto"/>
          <w:szCs w:val="32"/>
          <w:highlight w:val="none"/>
        </w:rPr>
      </w:pPr>
      <w:r>
        <w:rPr>
          <w:rFonts w:hint="eastAsia" w:ascii="仿宋_GB2312" w:hAnsi="仿宋"/>
          <w:color w:val="auto"/>
          <w:szCs w:val="32"/>
          <w:highlight w:val="none"/>
          <w:lang w:eastAsia="zh-CN"/>
        </w:rPr>
        <w:t>2023</w:t>
      </w:r>
      <w:r>
        <w:rPr>
          <w:rFonts w:hint="eastAsia" w:ascii="仿宋_GB2312" w:hAnsi="仿宋"/>
          <w:color w:val="auto"/>
          <w:szCs w:val="32"/>
          <w:highlight w:val="none"/>
        </w:rPr>
        <w:t>年度，</w:t>
      </w:r>
      <w:r>
        <w:rPr>
          <w:rFonts w:hint="eastAsia" w:ascii="仿宋_GB2312" w:hAnsi="仿宋"/>
          <w:color w:val="auto"/>
          <w:szCs w:val="32"/>
          <w:highlight w:val="none"/>
          <w:lang w:eastAsia="zh-CN"/>
        </w:rPr>
        <w:t>淮南市地方金融监督管理局</w:t>
      </w:r>
      <w:r>
        <w:rPr>
          <w:rFonts w:hint="eastAsia" w:ascii="仿宋_GB2312" w:hAnsi="仿宋"/>
          <w:color w:val="auto"/>
          <w:szCs w:val="32"/>
          <w:highlight w:val="none"/>
        </w:rPr>
        <w:t>机关运行经费支出</w:t>
      </w:r>
      <w:r>
        <w:rPr>
          <w:rFonts w:hint="eastAsia" w:ascii="仿宋_GB2312" w:hAnsi="仿宋"/>
          <w:color w:val="auto"/>
          <w:szCs w:val="32"/>
          <w:highlight w:val="none"/>
          <w:lang w:val="en-US" w:eastAsia="zh-CN"/>
        </w:rPr>
        <w:t>21.52</w:t>
      </w:r>
      <w:r>
        <w:rPr>
          <w:rFonts w:hint="eastAsia" w:ascii="仿宋_GB2312" w:hAnsi="仿宋"/>
          <w:color w:val="auto"/>
          <w:szCs w:val="32"/>
          <w:highlight w:val="none"/>
        </w:rPr>
        <w:t>万元，比</w:t>
      </w:r>
      <w:r>
        <w:rPr>
          <w:rFonts w:hint="eastAsia" w:ascii="仿宋_GB2312" w:hAnsi="仿宋"/>
          <w:color w:val="auto"/>
          <w:szCs w:val="32"/>
          <w:highlight w:val="none"/>
          <w:lang w:eastAsia="zh-CN"/>
        </w:rPr>
        <w:t>2022</w:t>
      </w:r>
      <w:r>
        <w:rPr>
          <w:rFonts w:hint="eastAsia" w:ascii="仿宋_GB2312" w:hAnsi="仿宋"/>
          <w:color w:val="auto"/>
          <w:szCs w:val="32"/>
          <w:highlight w:val="none"/>
        </w:rPr>
        <w:t>年增加</w:t>
      </w:r>
      <w:r>
        <w:rPr>
          <w:rFonts w:hint="eastAsia" w:ascii="仿宋_GB2312" w:hAnsi="仿宋"/>
          <w:color w:val="auto"/>
          <w:szCs w:val="32"/>
          <w:highlight w:val="none"/>
          <w:lang w:val="en-US" w:eastAsia="zh-CN"/>
        </w:rPr>
        <w:t>0.4</w:t>
      </w:r>
      <w:r>
        <w:rPr>
          <w:rFonts w:hint="eastAsia" w:ascii="仿宋_GB2312" w:hAnsi="仿宋"/>
          <w:color w:val="auto"/>
          <w:szCs w:val="32"/>
          <w:highlight w:val="none"/>
        </w:rPr>
        <w:t>万元，增长</w:t>
      </w:r>
      <w:r>
        <w:rPr>
          <w:rFonts w:hint="eastAsia" w:ascii="仿宋_GB2312" w:hAnsi="仿宋"/>
          <w:color w:val="auto"/>
          <w:szCs w:val="32"/>
          <w:highlight w:val="none"/>
          <w:lang w:val="en-US" w:eastAsia="zh-CN"/>
        </w:rPr>
        <w:t>1.89</w:t>
      </w:r>
      <w:r>
        <w:rPr>
          <w:rFonts w:hint="eastAsia" w:ascii="仿宋_GB2312" w:hAnsi="仿宋"/>
          <w:color w:val="auto"/>
          <w:szCs w:val="32"/>
          <w:highlight w:val="none"/>
        </w:rPr>
        <w:t>%，主要原因是</w:t>
      </w:r>
      <w:r>
        <w:rPr>
          <w:rFonts w:hint="eastAsia" w:ascii="仿宋_GB2312" w:hAnsi="仿宋"/>
          <w:color w:val="auto"/>
          <w:szCs w:val="32"/>
          <w:highlight w:val="none"/>
          <w:lang w:eastAsia="zh-CN"/>
        </w:rPr>
        <w:t>工作量增加</w:t>
      </w:r>
      <w:r>
        <w:rPr>
          <w:rFonts w:hint="eastAsia" w:ascii="仿宋_GB2312" w:hAnsi="仿宋"/>
          <w:color w:val="auto"/>
          <w:szCs w:val="32"/>
          <w:highlight w:val="none"/>
        </w:rPr>
        <w:t>。</w:t>
      </w:r>
    </w:p>
    <w:p>
      <w:pPr>
        <w:adjustRightInd w:val="0"/>
        <w:snapToGrid w:val="0"/>
        <w:spacing w:line="600" w:lineRule="exact"/>
        <w:ind w:firstLine="628" w:firstLineChars="200"/>
        <w:rPr>
          <w:rFonts w:hint="eastAsia" w:ascii="仿宋_GB2312" w:hAnsi="楷体" w:eastAsia="仿宋_GB2312"/>
          <w:b/>
          <w:color w:val="auto"/>
          <w:szCs w:val="32"/>
          <w:highlight w:val="none"/>
          <w:lang w:val="en-US" w:eastAsia="zh-CN"/>
        </w:rPr>
      </w:pPr>
      <w:r>
        <w:rPr>
          <w:rFonts w:hint="eastAsia" w:ascii="仿宋_GB2312" w:hAnsi="楷体"/>
          <w:b/>
          <w:color w:val="auto"/>
          <w:szCs w:val="32"/>
          <w:highlight w:val="none"/>
        </w:rPr>
        <w:t>（二）政府采购支出情况。</w:t>
      </w:r>
    </w:p>
    <w:p>
      <w:pPr>
        <w:spacing w:beforeLines="0" w:afterLines="0"/>
        <w:jc w:val="left"/>
        <w:rPr>
          <w:rFonts w:hint="eastAsia" w:ascii="仿宋_GB2312" w:hAnsi="仿宋"/>
          <w:color w:val="auto"/>
          <w:szCs w:val="32"/>
          <w:highlight w:val="none"/>
        </w:rPr>
      </w:pPr>
      <w:r>
        <w:rPr>
          <w:rFonts w:hint="eastAsia" w:ascii="仿宋_GB2312" w:hAnsi="仿宋"/>
          <w:color w:val="auto"/>
          <w:szCs w:val="32"/>
          <w:highlight w:val="none"/>
          <w:lang w:val="en-US" w:eastAsia="zh-CN"/>
        </w:rPr>
        <w:t xml:space="preserve">    </w:t>
      </w:r>
      <w:r>
        <w:rPr>
          <w:rFonts w:hint="eastAsia" w:ascii="仿宋_GB2312" w:hAnsi="仿宋"/>
          <w:color w:val="auto"/>
          <w:szCs w:val="32"/>
          <w:highlight w:val="none"/>
          <w:lang w:eastAsia="zh-CN"/>
        </w:rPr>
        <w:t>2023</w:t>
      </w:r>
      <w:r>
        <w:rPr>
          <w:rFonts w:hint="eastAsia" w:ascii="仿宋_GB2312" w:hAnsi="仿宋"/>
          <w:color w:val="auto"/>
          <w:szCs w:val="32"/>
          <w:highlight w:val="none"/>
        </w:rPr>
        <w:t>年度，</w:t>
      </w:r>
      <w:r>
        <w:rPr>
          <w:rFonts w:hint="eastAsia" w:ascii="仿宋_GB2312" w:hAnsi="仿宋"/>
          <w:color w:val="auto"/>
          <w:szCs w:val="32"/>
          <w:highlight w:val="none"/>
          <w:lang w:eastAsia="zh-CN"/>
        </w:rPr>
        <w:t>淮南市地方金融监督管理局</w:t>
      </w:r>
      <w:r>
        <w:rPr>
          <w:rFonts w:hint="eastAsia" w:ascii="仿宋_GB2312" w:hAnsi="仿宋"/>
          <w:color w:val="auto"/>
          <w:szCs w:val="32"/>
          <w:highlight w:val="none"/>
        </w:rPr>
        <w:t>政府采购支出总额</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万元，其中：政府采购货物支出</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万元、政府采购工程支出</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万元、政府采购服务支出</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万元。授予中小企业合同金额</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万元，占政府采购支出总额的</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%，其中：</w:t>
      </w:r>
      <w:r>
        <w:rPr>
          <w:rFonts w:hint="eastAsia" w:ascii="仿宋" w:hAnsi="仿宋" w:eastAsia="仿宋"/>
          <w:color w:val="auto"/>
          <w:sz w:val="32"/>
          <w:highlight w:val="none"/>
        </w:rPr>
        <w:t>授予小微企业合同金额</w:t>
      </w:r>
      <w:r>
        <w:rPr>
          <w:rFonts w:hint="eastAsia" w:ascii="仿宋" w:hAnsi="仿宋" w:eastAsia="仿宋"/>
          <w:color w:val="auto"/>
          <w:sz w:val="32"/>
          <w:highlight w:val="none"/>
          <w:lang w:val="en-US" w:eastAsia="zh-CN"/>
        </w:rPr>
        <w:t>0</w:t>
      </w:r>
      <w:r>
        <w:rPr>
          <w:rFonts w:hint="eastAsia" w:ascii="仿宋" w:hAnsi="仿宋" w:eastAsia="仿宋"/>
          <w:color w:val="auto"/>
          <w:sz w:val="32"/>
          <w:highlight w:val="none"/>
        </w:rPr>
        <w:t xml:space="preserve"> 万元，</w:t>
      </w:r>
      <w:r>
        <w:rPr>
          <w:rFonts w:hint="eastAsia" w:ascii="仿宋_GB2312" w:hAnsi="仿宋"/>
          <w:color w:val="auto"/>
          <w:szCs w:val="32"/>
          <w:highlight w:val="none"/>
        </w:rPr>
        <w:t>占授予中小企业合同金额的</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%；货物采购授予中小企业合同金额占货物支出金额的</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%，工程采购授予中小企业合同金额占工程支出金额的</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%，服务采购授予中小企业合同金额占服务支出金额的</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w:t>
      </w:r>
    </w:p>
    <w:p>
      <w:pPr>
        <w:adjustRightInd w:val="0"/>
        <w:snapToGrid w:val="0"/>
        <w:spacing w:line="600" w:lineRule="exact"/>
        <w:ind w:firstLine="628" w:firstLineChars="200"/>
        <w:rPr>
          <w:rFonts w:hint="eastAsia" w:ascii="仿宋_GB2312" w:hAnsi="楷体"/>
          <w:b/>
          <w:color w:val="auto"/>
          <w:szCs w:val="32"/>
          <w:highlight w:val="none"/>
        </w:rPr>
      </w:pPr>
      <w:r>
        <w:rPr>
          <w:rFonts w:hint="eastAsia" w:ascii="仿宋_GB2312" w:hAnsi="楷体"/>
          <w:b/>
          <w:color w:val="auto"/>
          <w:szCs w:val="32"/>
          <w:highlight w:val="none"/>
        </w:rPr>
        <w:t>（三）国有资产占有使用情况。</w:t>
      </w:r>
    </w:p>
    <w:p>
      <w:pPr>
        <w:adjustRightInd w:val="0"/>
        <w:snapToGrid w:val="0"/>
        <w:spacing w:line="600" w:lineRule="exact"/>
        <w:ind w:firstLine="628" w:firstLineChars="200"/>
        <w:rPr>
          <w:rFonts w:hint="eastAsia" w:ascii="仿宋_GB2312" w:hAnsi="仿宋"/>
          <w:color w:val="auto"/>
          <w:szCs w:val="32"/>
          <w:highlight w:val="none"/>
        </w:rPr>
      </w:pPr>
      <w:r>
        <w:rPr>
          <w:rFonts w:hint="eastAsia" w:ascii="仿宋_GB2312" w:hAnsi="楷体"/>
          <w:color w:val="auto"/>
          <w:szCs w:val="32"/>
          <w:highlight w:val="none"/>
        </w:rPr>
        <w:t>截至</w:t>
      </w:r>
      <w:r>
        <w:rPr>
          <w:rFonts w:hint="eastAsia" w:ascii="仿宋_GB2312" w:hAnsi="楷体"/>
          <w:color w:val="auto"/>
          <w:szCs w:val="32"/>
          <w:highlight w:val="none"/>
          <w:lang w:eastAsia="zh-CN"/>
        </w:rPr>
        <w:t>2023</w:t>
      </w:r>
      <w:r>
        <w:rPr>
          <w:rFonts w:hint="eastAsia" w:ascii="仿宋_GB2312" w:hAnsi="楷体"/>
          <w:color w:val="auto"/>
          <w:szCs w:val="32"/>
          <w:highlight w:val="none"/>
        </w:rPr>
        <w:t>年12月31日，</w:t>
      </w:r>
      <w:r>
        <w:rPr>
          <w:rFonts w:hint="eastAsia" w:ascii="仿宋_GB2312" w:hAnsi="仿宋"/>
          <w:color w:val="auto"/>
          <w:szCs w:val="32"/>
          <w:highlight w:val="none"/>
          <w:lang w:eastAsia="zh-CN"/>
        </w:rPr>
        <w:t>淮南市地方金融监督管理局</w:t>
      </w:r>
      <w:r>
        <w:rPr>
          <w:rFonts w:hint="eastAsia" w:ascii="仿宋_GB2312" w:hAnsi="仿宋"/>
          <w:color w:val="auto"/>
          <w:szCs w:val="32"/>
          <w:highlight w:val="none"/>
        </w:rPr>
        <w:t>共有车辆</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辆；单价100万元</w:t>
      </w:r>
      <w:r>
        <w:rPr>
          <w:rFonts w:hint="eastAsia" w:ascii="仿宋_GB2312" w:hAnsi="仿宋"/>
          <w:color w:val="auto"/>
          <w:szCs w:val="32"/>
          <w:highlight w:val="none"/>
          <w:lang w:eastAsia="zh-CN"/>
        </w:rPr>
        <w:t>（含）</w:t>
      </w:r>
      <w:r>
        <w:rPr>
          <w:rFonts w:hint="eastAsia" w:ascii="仿宋_GB2312" w:hAnsi="仿宋"/>
          <w:color w:val="auto"/>
          <w:szCs w:val="32"/>
          <w:highlight w:val="none"/>
        </w:rPr>
        <w:t>以上设备</w:t>
      </w:r>
      <w:r>
        <w:rPr>
          <w:rFonts w:hint="eastAsia" w:ascii="仿宋_GB2312" w:hAnsi="仿宋"/>
          <w:color w:val="auto"/>
          <w:szCs w:val="32"/>
          <w:highlight w:val="none"/>
          <w:lang w:eastAsia="zh-CN"/>
        </w:rPr>
        <w:t>（不含车辆）</w:t>
      </w:r>
      <w:r>
        <w:rPr>
          <w:rFonts w:hint="eastAsia" w:ascii="仿宋_GB2312" w:hAnsi="仿宋"/>
          <w:color w:val="auto"/>
          <w:szCs w:val="32"/>
          <w:highlight w:val="none"/>
          <w:lang w:val="en-US" w:eastAsia="zh-CN"/>
        </w:rPr>
        <w:t>0</w:t>
      </w:r>
      <w:r>
        <w:rPr>
          <w:rFonts w:hint="eastAsia" w:ascii="仿宋_GB2312" w:hAnsi="仿宋"/>
          <w:color w:val="auto"/>
          <w:szCs w:val="32"/>
          <w:highlight w:val="none"/>
        </w:rPr>
        <w:t>台（套）。</w:t>
      </w:r>
    </w:p>
    <w:p>
      <w:pPr>
        <w:numPr>
          <w:ilvl w:val="0"/>
          <w:numId w:val="2"/>
        </w:numPr>
        <w:adjustRightInd w:val="0"/>
        <w:snapToGrid w:val="0"/>
        <w:spacing w:line="600" w:lineRule="exact"/>
        <w:ind w:firstLine="628" w:firstLineChars="200"/>
        <w:rPr>
          <w:rFonts w:hint="eastAsia" w:ascii="仿宋_GB2312" w:hAnsi="楷体"/>
          <w:b/>
          <w:color w:val="auto"/>
          <w:szCs w:val="32"/>
          <w:highlight w:val="none"/>
        </w:rPr>
      </w:pPr>
      <w:r>
        <w:rPr>
          <w:rFonts w:hint="eastAsia" w:ascii="仿宋_GB2312" w:hAnsi="楷体"/>
          <w:b/>
          <w:color w:val="auto"/>
          <w:szCs w:val="32"/>
          <w:highlight w:val="none"/>
        </w:rPr>
        <w:t>关于</w:t>
      </w:r>
      <w:r>
        <w:rPr>
          <w:rFonts w:hint="eastAsia" w:ascii="仿宋_GB2312" w:hAnsi="楷体"/>
          <w:b/>
          <w:color w:val="auto"/>
          <w:szCs w:val="32"/>
          <w:highlight w:val="none"/>
          <w:lang w:eastAsia="zh-CN"/>
        </w:rPr>
        <w:t>2023</w:t>
      </w:r>
      <w:r>
        <w:rPr>
          <w:rFonts w:hint="eastAsia" w:ascii="仿宋_GB2312" w:hAnsi="楷体"/>
          <w:b/>
          <w:color w:val="auto"/>
          <w:szCs w:val="32"/>
          <w:highlight w:val="none"/>
        </w:rPr>
        <w:t>年度绩效</w:t>
      </w:r>
      <w:r>
        <w:rPr>
          <w:rFonts w:hint="eastAsia" w:ascii="仿宋_GB2312" w:hAnsi="楷体"/>
          <w:b/>
          <w:color w:val="auto"/>
          <w:szCs w:val="32"/>
          <w:highlight w:val="none"/>
          <w:lang w:eastAsia="zh-CN"/>
        </w:rPr>
        <w:t>评价</w:t>
      </w:r>
      <w:r>
        <w:rPr>
          <w:rFonts w:hint="eastAsia" w:ascii="仿宋_GB2312" w:hAnsi="楷体"/>
          <w:b/>
          <w:color w:val="auto"/>
          <w:szCs w:val="32"/>
          <w:highlight w:val="none"/>
        </w:rPr>
        <w:t>情况</w:t>
      </w:r>
      <w:r>
        <w:rPr>
          <w:rFonts w:hint="eastAsia" w:ascii="仿宋_GB2312" w:hAnsi="楷体"/>
          <w:b/>
          <w:color w:val="auto"/>
          <w:szCs w:val="32"/>
          <w:highlight w:val="none"/>
          <w:lang w:eastAsia="zh-CN"/>
        </w:rPr>
        <w:t>的</w:t>
      </w:r>
      <w:r>
        <w:rPr>
          <w:rFonts w:hint="eastAsia" w:ascii="仿宋_GB2312" w:hAnsi="楷体"/>
          <w:b/>
          <w:color w:val="auto"/>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（1）绩效评价工作开展情况。</w:t>
      </w:r>
    </w:p>
    <w:p>
      <w:pPr>
        <w:adjustRightInd w:val="0"/>
        <w:snapToGrid w:val="0"/>
        <w:spacing w:line="600" w:lineRule="exact"/>
        <w:ind w:firstLine="628" w:firstLineChars="200"/>
        <w:rPr>
          <w:rFonts w:hint="eastAsia" w:ascii="仿宋_GB2312" w:hAnsi="仿宋" w:cs="Times New Roman"/>
          <w:color w:val="auto"/>
          <w:szCs w:val="32"/>
          <w:highlight w:val="none"/>
          <w:lang w:val="en-US" w:eastAsia="zh-CN"/>
        </w:rPr>
      </w:pPr>
      <w:r>
        <w:rPr>
          <w:rFonts w:hint="eastAsia" w:ascii="仿宋_GB2312" w:hAnsi="仿宋" w:cs="Times New Roman"/>
          <w:color w:val="auto"/>
          <w:szCs w:val="32"/>
          <w:highlight w:val="none"/>
          <w:lang w:val="en-US" w:eastAsia="zh-CN"/>
        </w:rPr>
        <w:t>根据预算绩效管理要求，本部门组织对2023年度纳入部门预算的项目支出全面开展了绩效自评，共7个项目，涉及资金1566.09万元。从评价情况看，我局2023年度纳入绩效目标管理的项目共7个，自评得分均在90（含）-100分，自评结果为“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组织对2023年度部门整体支出开展了绩效自评。评价结果显示，引导金融机构创新金融产品，加大对小微企业、民营企业的金融支持，强化脱贫攻坚和乡村振兴战略金融服务。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组织对“财政支持金融发展专项经费”、“金融改革创新金融考核金融培训等工作”等</w:t>
      </w:r>
      <w:r>
        <w:rPr>
          <w:rFonts w:hint="eastAsia" w:ascii="仿宋_GB2312" w:hAnsi="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个项目开展了部门评价，共涉及资金</w:t>
      </w:r>
      <w:r>
        <w:rPr>
          <w:rFonts w:hint="eastAsia" w:ascii="仿宋_GB2312" w:hAnsi="仿宋" w:cs="Times New Roman"/>
          <w:color w:val="auto"/>
          <w:szCs w:val="32"/>
          <w:highlight w:val="none"/>
          <w:lang w:val="en-US" w:eastAsia="zh-CN"/>
        </w:rPr>
        <w:t>1566.09</w:t>
      </w:r>
      <w:r>
        <w:rPr>
          <w:rFonts w:hint="eastAsia" w:ascii="仿宋_GB2312" w:hAnsi="仿宋_GB2312" w:eastAsia="仿宋_GB2312" w:cs="仿宋_GB2312"/>
          <w:bCs/>
          <w:color w:val="auto"/>
          <w:sz w:val="32"/>
          <w:szCs w:val="32"/>
          <w:highlight w:val="none"/>
        </w:rPr>
        <w:t>万元。以上项目由我部门自行组织开展绩效评价。从评价情况看，</w:t>
      </w:r>
      <w:r>
        <w:rPr>
          <w:rFonts w:hint="eastAsia" w:ascii="仿宋_GB2312" w:hAnsi="仿宋_GB2312" w:cs="仿宋_GB2312"/>
          <w:bCs/>
          <w:color w:val="auto"/>
          <w:sz w:val="32"/>
          <w:szCs w:val="32"/>
          <w:highlight w:val="none"/>
          <w:lang w:eastAsia="zh-CN"/>
        </w:rPr>
        <w:t>达到预期效果。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组织对“</w:t>
      </w:r>
      <w:r>
        <w:rPr>
          <w:rFonts w:hint="eastAsia" w:ascii="仿宋_GB2312" w:hAnsi="仿宋_GB2312" w:eastAsia="仿宋_GB2312" w:cs="仿宋_GB2312"/>
          <w:bCs/>
          <w:color w:val="auto"/>
          <w:sz w:val="32"/>
          <w:szCs w:val="32"/>
          <w:highlight w:val="none"/>
          <w:lang w:eastAsia="zh-CN"/>
        </w:rPr>
        <w:t>淮南市地方金融监督管理局”</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个单位开展单位整体支出部门评价，共涉及资金</w:t>
      </w:r>
      <w:r>
        <w:rPr>
          <w:rFonts w:hint="eastAsia" w:ascii="仿宋_GB2312" w:hAnsi="仿宋_GB2312" w:eastAsia="仿宋_GB2312" w:cs="仿宋_GB2312"/>
          <w:bCs/>
          <w:color w:val="auto"/>
          <w:sz w:val="32"/>
          <w:szCs w:val="32"/>
          <w:highlight w:val="none"/>
          <w:lang w:val="en-US" w:eastAsia="zh-CN"/>
        </w:rPr>
        <w:t>1847.86</w:t>
      </w:r>
      <w:r>
        <w:rPr>
          <w:rFonts w:hint="eastAsia" w:ascii="仿宋_GB2312" w:hAnsi="仿宋_GB2312" w:eastAsia="仿宋_GB2312" w:cs="仿宋_GB2312"/>
          <w:bCs/>
          <w:color w:val="auto"/>
          <w:sz w:val="32"/>
          <w:szCs w:val="32"/>
          <w:highlight w:val="none"/>
          <w:lang w:eastAsia="zh-CN"/>
        </w:rPr>
        <w:t>万元。从评价情况看，得到了金融机构普遍认可和赞同，且积极参与和支持，持续加大金融服务实体经济助企纾困力度，不断提高金融要素供给总量，优化金融供给结构。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8"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cs="仿宋_GB2312"/>
          <w:bCs/>
          <w:color w:val="auto"/>
          <w:sz w:val="32"/>
          <w:szCs w:val="32"/>
          <w:highlight w:val="none"/>
          <w:lang w:eastAsia="zh-CN"/>
        </w:rPr>
        <w:t>我</w:t>
      </w:r>
      <w:r>
        <w:rPr>
          <w:rFonts w:hint="eastAsia" w:ascii="仿宋_GB2312" w:hAnsi="仿宋_GB2312" w:eastAsia="仿宋_GB2312" w:cs="仿宋_GB2312"/>
          <w:bCs/>
          <w:color w:val="auto"/>
          <w:sz w:val="32"/>
          <w:szCs w:val="32"/>
          <w:highlight w:val="none"/>
          <w:lang w:eastAsia="zh-CN"/>
        </w:rPr>
        <w:t>局在</w:t>
      </w:r>
      <w:r>
        <w:rPr>
          <w:rFonts w:hint="eastAsia" w:ascii="仿宋_GB2312" w:hAnsi="仿宋_GB2312" w:cs="仿宋_GB2312"/>
          <w:bCs/>
          <w:color w:val="auto"/>
          <w:sz w:val="32"/>
          <w:szCs w:val="32"/>
          <w:highlight w:val="none"/>
          <w:lang w:eastAsia="zh-CN"/>
        </w:rPr>
        <w:t>2023</w:t>
      </w:r>
      <w:r>
        <w:rPr>
          <w:rFonts w:hint="eastAsia" w:ascii="仿宋_GB2312" w:hAnsi="仿宋_GB2312" w:eastAsia="仿宋_GB2312" w:cs="仿宋_GB2312"/>
          <w:bCs/>
          <w:color w:val="auto"/>
          <w:sz w:val="32"/>
          <w:szCs w:val="32"/>
          <w:highlight w:val="none"/>
          <w:lang w:eastAsia="zh-CN"/>
        </w:rPr>
        <w:t>年度部门决算中反映“财政支持金融发展专项经费”项目绩效自评综述和所有项目支出绩效自评表。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财政支持金融发展专项经费项目绩效自评综述：根据年初设定的绩效目标，项目绩效自评得分为</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lang w:eastAsia="zh-CN"/>
        </w:rPr>
        <w:t>分。全年预算数为1388万元，执行数为1388万元，完成预算的</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lang w:eastAsia="zh-CN"/>
        </w:rPr>
        <w:t>%。项目绩效目标完成情况：一是对相关企业进行了奖补；二是更好的促进经济发展。发现的主要问题及原因：一是预算不够准确；二是申报到奖补时间较长。下一步改进措施：一是进一步细化预算编制；二是加快工作进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财政支持金融发展专项经费项目的《项目支出绩效自评表》。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383"/>
        <w:gridCol w:w="884"/>
        <w:gridCol w:w="945"/>
        <w:gridCol w:w="836"/>
        <w:gridCol w:w="717"/>
        <w:gridCol w:w="801"/>
        <w:gridCol w:w="1052"/>
        <w:gridCol w:w="748"/>
        <w:gridCol w:w="801"/>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9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1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2"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08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财政支持金融发展专项经费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8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053-淮南市地方金融监督管理局</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6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053001-淮南市地方金融监督管理局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1388.00</w:t>
            </w:r>
          </w:p>
        </w:tc>
        <w:tc>
          <w:tcPr>
            <w:tcW w:w="5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3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1388.00</w:t>
            </w:r>
          </w:p>
        </w:tc>
        <w:tc>
          <w:tcPr>
            <w:tcW w:w="5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9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5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2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5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企业上市（挂牌）成本，拓宽企业融资渠道，提升企业实力和规模，助推我市产业结构转型升级。金融支持地方经济发展考核评比前6名银行机构、前3名财险机构、前3名寿险机构、前3名证券机构、人民银行淮南市中心支行和淮南银保监局；金融产品创新评选前6名银行机构。通过考核奖励引导，进一步调动在淮金融机构支持地方经济发展积极性，引导信贷资源投向，更好支持淮南市实体经济发展。通过对我市上市企业以及在省股权交易中心转板实现上市（挂牌）的企业，给予奖励，支持企业发展，扩大上市企业规模。</w:t>
            </w:r>
          </w:p>
        </w:tc>
        <w:tc>
          <w:tcPr>
            <w:tcW w:w="2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2022年11月，淮南市人民政府制定财政支持产业发展若干政策的意见提出，为支持产业转型升级，促进经济高质量发展，对我市辖区内注册企业在境内证券交易所成功上市的，对在全国中小企业股份转让系统（简称“新三板”）成功挂牌的，对在“新三板”或省股权交易中心转板实现上市（挂牌）等情况，以及在淮金融机构支持地方经济发展做出积极贡献的，给予财政资金专项奖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影响效果</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评选时间</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≥800万元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800万元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评选机构</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效益成果</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3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rPr>
          <w:rFonts w:hint="eastAsia"/>
          <w:lang w:eastAsia="zh-CN"/>
        </w:rPr>
      </w:pPr>
    </w:p>
    <w:p>
      <w:pPr>
        <w:pStyle w:val="2"/>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 xml:space="preserve">    所有项目</w:t>
      </w:r>
      <w:r>
        <w:rPr>
          <w:rFonts w:hint="eastAsia" w:ascii="仿宋_GB2312" w:hAnsi="仿宋_GB2312" w:eastAsia="仿宋_GB2312" w:cs="仿宋_GB2312"/>
          <w:bCs/>
          <w:color w:val="auto"/>
          <w:sz w:val="32"/>
          <w:szCs w:val="32"/>
          <w:highlight w:val="none"/>
          <w:lang w:eastAsia="zh-CN"/>
        </w:rPr>
        <w:t>绩效自评表详见</w:t>
      </w:r>
      <w:r>
        <w:rPr>
          <w:rFonts w:hint="eastAsia" w:ascii="仿宋_GB2312" w:hAnsi="仿宋_GB2312" w:eastAsia="仿宋_GB2312" w:cs="仿宋_GB2312"/>
          <w:bCs/>
          <w:color w:val="auto"/>
          <w:sz w:val="32"/>
          <w:szCs w:val="32"/>
          <w:highlight w:val="none"/>
          <w:lang w:val="en-US" w:eastAsia="zh-CN"/>
        </w:rPr>
        <w:t>“附件：2023年度项目支出绩效自评表及部门评价报告”</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highlight w:val="none"/>
        </w:rPr>
      </w:pPr>
      <w:r>
        <w:rPr>
          <w:rFonts w:hint="eastAsia" w:ascii="楷体" w:hAnsi="楷体" w:eastAsia="楷体" w:cs="楷体"/>
          <w:b/>
          <w:bCs/>
          <w:color w:val="auto"/>
          <w:sz w:val="32"/>
          <w:szCs w:val="32"/>
          <w:highlight w:val="none"/>
          <w:lang w:val="en-US" w:eastAsia="zh-CN"/>
        </w:rPr>
        <w:t xml:space="preserve">    （3）部门评价结果。</w:t>
      </w:r>
    </w:p>
    <w:p>
      <w:pPr>
        <w:ind w:left="15" w:leftChars="0" w:firstLine="600" w:firstLineChars="191"/>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bCs/>
          <w:color w:val="auto"/>
          <w:sz w:val="32"/>
          <w:szCs w:val="32"/>
          <w:highlight w:val="none"/>
          <w:lang w:eastAsia="zh-CN"/>
        </w:rPr>
        <w:t>财政支持金融发展专项经费</w:t>
      </w:r>
      <w:r>
        <w:rPr>
          <w:rFonts w:hint="eastAsia" w:ascii="仿宋_GB2312" w:hAnsi="仿宋_GB2312" w:eastAsia="仿宋_GB2312" w:cs="仿宋_GB2312"/>
          <w:color w:val="auto"/>
          <w:sz w:val="32"/>
          <w:szCs w:val="32"/>
          <w:highlight w:val="none"/>
          <w:lang w:val="en-US" w:eastAsia="zh-CN"/>
        </w:rPr>
        <w:t>项目绩效评价报告》</w:t>
      </w:r>
      <w:r>
        <w:rPr>
          <w:rFonts w:hint="eastAsia" w:ascii="仿宋_GB2312" w:hAnsi="仿宋_GB2312" w:eastAsia="仿宋_GB2312" w:cs="仿宋_GB2312"/>
          <w:bCs/>
          <w:color w:val="auto"/>
          <w:sz w:val="32"/>
          <w:szCs w:val="32"/>
          <w:highlight w:val="none"/>
          <w:lang w:eastAsia="zh-CN"/>
        </w:rPr>
        <w:t>详</w:t>
      </w:r>
      <w:r>
        <w:rPr>
          <w:rFonts w:hint="eastAsia" w:ascii="仿宋_GB2312" w:hAnsi="仿宋_GB2312" w:eastAsia="仿宋_GB2312" w:cs="仿宋_GB2312"/>
          <w:bCs/>
          <w:color w:val="auto"/>
          <w:sz w:val="32"/>
          <w:szCs w:val="32"/>
          <w:highlight w:val="none"/>
        </w:rPr>
        <w:t>见</w:t>
      </w:r>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cs="仿宋_GB2312"/>
          <w:bCs/>
          <w:color w:val="auto"/>
          <w:sz w:val="32"/>
          <w:szCs w:val="32"/>
          <w:highlight w:val="none"/>
          <w:lang w:val="en-US" w:eastAsia="zh-CN"/>
        </w:rPr>
        <w:t>2023</w:t>
      </w:r>
      <w:r>
        <w:rPr>
          <w:rFonts w:hint="eastAsia" w:ascii="仿宋_GB2312" w:hAnsi="仿宋_GB2312" w:eastAsia="仿宋_GB2312" w:cs="仿宋_GB2312"/>
          <w:bCs/>
          <w:color w:val="auto"/>
          <w:sz w:val="32"/>
          <w:szCs w:val="32"/>
          <w:highlight w:val="none"/>
          <w:lang w:val="en-US" w:eastAsia="zh-CN"/>
        </w:rPr>
        <w:t>年度</w:t>
      </w:r>
      <w:r>
        <w:rPr>
          <w:rFonts w:hint="eastAsia" w:ascii="仿宋_GB2312" w:hAnsi="仿宋_GB2312" w:eastAsia="仿宋_GB2312" w:cs="仿宋_GB2312"/>
          <w:bCs/>
          <w:color w:val="auto"/>
          <w:sz w:val="32"/>
          <w:szCs w:val="32"/>
          <w:highlight w:val="none"/>
          <w:lang w:eastAsia="zh-CN"/>
        </w:rPr>
        <w:t>项目支出绩效自评表及</w:t>
      </w:r>
      <w:r>
        <w:rPr>
          <w:rFonts w:hint="eastAsia" w:ascii="仿宋_GB2312" w:hAnsi="仿宋_GB2312" w:eastAsia="仿宋_GB2312" w:cs="仿宋_GB2312"/>
          <w:bCs/>
          <w:color w:val="auto"/>
          <w:sz w:val="32"/>
          <w:szCs w:val="32"/>
          <w:highlight w:val="none"/>
          <w:lang w:val="en-US" w:eastAsia="zh-CN"/>
        </w:rPr>
        <w:t>部门评价报告</w:t>
      </w:r>
      <w:r>
        <w:rPr>
          <w:rFonts w:hint="eastAsia" w:ascii="仿宋_GB2312" w:hAnsi="仿宋_GB2312" w:eastAsia="仿宋_GB2312" w:cs="仿宋_GB2312"/>
          <w:bCs/>
          <w:color w:val="auto"/>
          <w:sz w:val="32"/>
          <w:szCs w:val="32"/>
          <w:highlight w:val="none"/>
          <w:lang w:eastAsia="zh-CN"/>
        </w:rPr>
        <w:t>”。</w:t>
      </w:r>
    </w:p>
    <w:p>
      <w:pPr>
        <w:adjustRightInd w:val="0"/>
        <w:snapToGrid w:val="0"/>
        <w:spacing w:line="600" w:lineRule="exact"/>
        <w:ind w:firstLine="628" w:firstLineChars="200"/>
        <w:rPr>
          <w:rFonts w:hint="eastAsia" w:ascii="黑体" w:hAnsi="黑体" w:eastAsia="黑体"/>
          <w:color w:val="auto"/>
          <w:szCs w:val="32"/>
          <w:highlight w:val="none"/>
        </w:rPr>
      </w:pPr>
      <w:r>
        <w:rPr>
          <w:rFonts w:hint="eastAsia" w:ascii="黑体" w:hAnsi="黑体" w:eastAsia="黑体"/>
          <w:color w:val="auto"/>
          <w:szCs w:val="32"/>
          <w:highlight w:val="none"/>
        </w:rPr>
        <w:t>第四部分 名词解释</w:t>
      </w:r>
    </w:p>
    <w:p>
      <w:pPr>
        <w:adjustRightInd w:val="0"/>
        <w:snapToGrid w:val="0"/>
        <w:spacing w:line="600" w:lineRule="exact"/>
        <w:rPr>
          <w:rFonts w:hint="eastAsia" w:ascii="仿宋_GB2312" w:hAnsi="仿宋"/>
          <w:color w:val="auto"/>
          <w:szCs w:val="32"/>
          <w:highlight w:val="none"/>
        </w:rPr>
      </w:pPr>
      <w:r>
        <w:rPr>
          <w:rFonts w:hint="eastAsia" w:ascii="仿宋_GB2312" w:hAnsi="仿宋"/>
          <w:b/>
          <w:color w:val="auto"/>
          <w:szCs w:val="32"/>
          <w:highlight w:val="none"/>
          <w:lang w:val="en-US" w:eastAsia="zh-CN"/>
        </w:rPr>
        <w:t xml:space="preserve">    </w:t>
      </w:r>
      <w:r>
        <w:rPr>
          <w:rFonts w:hint="eastAsia" w:ascii="仿宋_GB2312" w:hAnsi="仿宋"/>
          <w:b/>
          <w:color w:val="auto"/>
          <w:szCs w:val="32"/>
          <w:highlight w:val="none"/>
        </w:rPr>
        <w:t>一、财政拨款收入：</w:t>
      </w:r>
      <w:r>
        <w:rPr>
          <w:rFonts w:hint="eastAsia" w:ascii="仿宋_GB2312" w:hAnsi="仿宋"/>
          <w:color w:val="auto"/>
          <w:szCs w:val="32"/>
          <w:highlight w:val="none"/>
        </w:rPr>
        <w:t>指单位从同级财政部门取得的财政预算资金。</w:t>
      </w:r>
    </w:p>
    <w:p>
      <w:pPr>
        <w:adjustRightInd w:val="0"/>
        <w:snapToGrid w:val="0"/>
        <w:spacing w:line="600" w:lineRule="exact"/>
        <w:rPr>
          <w:rFonts w:hint="eastAsia" w:ascii="仿宋_GB2312" w:hAnsi="仿宋"/>
          <w:color w:val="auto"/>
          <w:szCs w:val="32"/>
          <w:highlight w:val="none"/>
        </w:rPr>
      </w:pPr>
      <w:r>
        <w:rPr>
          <w:rFonts w:hint="eastAsia" w:ascii="仿宋_GB2312" w:hAnsi="黑体"/>
          <w:b/>
          <w:bCs/>
          <w:color w:val="auto"/>
          <w:sz w:val="32"/>
          <w:szCs w:val="32"/>
          <w:highlight w:val="none"/>
          <w:lang w:val="en-US" w:eastAsia="zh-CN"/>
        </w:rPr>
        <w:t xml:space="preserve">    </w:t>
      </w:r>
      <w:r>
        <w:rPr>
          <w:rFonts w:hint="eastAsia" w:ascii="仿宋_GB2312" w:hAnsi="黑体" w:eastAsia="仿宋_GB2312"/>
          <w:b/>
          <w:bCs/>
          <w:color w:val="auto"/>
          <w:sz w:val="32"/>
          <w:szCs w:val="32"/>
          <w:highlight w:val="none"/>
          <w:lang w:eastAsia="zh-CN"/>
        </w:rPr>
        <w:t>二、</w:t>
      </w:r>
      <w:r>
        <w:rPr>
          <w:rFonts w:hint="eastAsia" w:ascii="仿宋_GB2312" w:hAnsi="仿宋"/>
          <w:b/>
          <w:bCs/>
          <w:color w:val="auto"/>
          <w:szCs w:val="32"/>
          <w:highlight w:val="none"/>
        </w:rPr>
        <w:t>事业收入：</w:t>
      </w:r>
      <w:r>
        <w:rPr>
          <w:rFonts w:hint="eastAsia" w:ascii="仿宋_GB2312" w:hAnsi="仿宋"/>
          <w:color w:val="auto"/>
          <w:szCs w:val="32"/>
          <w:highlight w:val="none"/>
        </w:rPr>
        <w:t>指事业单位开展专业业务活动及辅助活动所取得的收入。</w:t>
      </w:r>
    </w:p>
    <w:p>
      <w:pPr>
        <w:adjustRightInd w:val="0"/>
        <w:snapToGrid w:val="0"/>
        <w:spacing w:line="600" w:lineRule="exact"/>
        <w:rPr>
          <w:rFonts w:ascii="仿宋_GB2312" w:hAnsi="黑体"/>
          <w:b/>
          <w:bCs/>
          <w:color w:val="auto"/>
          <w:szCs w:val="32"/>
          <w:highlight w:val="none"/>
        </w:rPr>
      </w:pPr>
      <w:r>
        <w:rPr>
          <w:rFonts w:hint="eastAsia" w:ascii="仿宋_GB2312" w:hAnsi="黑体"/>
          <w:b/>
          <w:bCs/>
          <w:color w:val="auto"/>
          <w:sz w:val="32"/>
          <w:szCs w:val="32"/>
          <w:highlight w:val="none"/>
          <w:lang w:val="en-US" w:eastAsia="zh-CN"/>
        </w:rPr>
        <w:t xml:space="preserve">    </w:t>
      </w:r>
      <w:r>
        <w:rPr>
          <w:rFonts w:hint="eastAsia" w:ascii="仿宋_GB2312" w:hAnsi="黑体" w:eastAsia="仿宋_GB2312"/>
          <w:b/>
          <w:bCs/>
          <w:color w:val="auto"/>
          <w:sz w:val="32"/>
          <w:szCs w:val="32"/>
          <w:highlight w:val="none"/>
          <w:lang w:eastAsia="zh-CN"/>
        </w:rPr>
        <w:t>三、</w:t>
      </w:r>
      <w:r>
        <w:rPr>
          <w:rFonts w:hint="eastAsia" w:ascii="仿宋_GB2312" w:hAnsi="黑体" w:eastAsia="仿宋_GB2312"/>
          <w:b/>
          <w:bCs/>
          <w:color w:val="auto"/>
          <w:sz w:val="32"/>
          <w:szCs w:val="32"/>
          <w:highlight w:val="none"/>
        </w:rPr>
        <w:t>上级补助收入：</w:t>
      </w:r>
      <w:r>
        <w:rPr>
          <w:rFonts w:hint="eastAsia" w:ascii="仿宋_GB2312" w:hAnsi="黑体" w:eastAsia="仿宋_GB2312"/>
          <w:bCs/>
          <w:color w:val="auto"/>
          <w:sz w:val="32"/>
          <w:szCs w:val="32"/>
          <w:highlight w:val="none"/>
        </w:rPr>
        <w:t>指</w:t>
      </w:r>
      <w:r>
        <w:rPr>
          <w:rFonts w:hint="eastAsia" w:ascii="仿宋_GB2312" w:hAnsi="仿宋" w:eastAsia="仿宋_GB2312" w:cs="Times New Roman"/>
          <w:color w:val="auto"/>
          <w:kern w:val="2"/>
          <w:sz w:val="32"/>
          <w:szCs w:val="32"/>
          <w:highlight w:val="none"/>
        </w:rPr>
        <w:t>事业单位从主管部门和上级单位取得的非财政补助收入。</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四、附属单位上缴收入：</w:t>
      </w:r>
      <w:r>
        <w:rPr>
          <w:rFonts w:hint="eastAsia" w:ascii="仿宋_GB2312" w:hAnsi="黑体" w:eastAsia="仿宋_GB2312"/>
          <w:bCs/>
          <w:color w:val="auto"/>
          <w:sz w:val="32"/>
          <w:szCs w:val="32"/>
          <w:highlight w:val="none"/>
        </w:rPr>
        <w:t>指事业单位附属独立核算单位按照有关规定上缴的收入。</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五、经营收入</w:t>
      </w:r>
      <w:r>
        <w:rPr>
          <w:rFonts w:hint="eastAsia"/>
          <w:b/>
          <w:bCs/>
          <w:color w:val="auto"/>
          <w:highlight w:val="none"/>
        </w:rPr>
        <w:t>：</w:t>
      </w:r>
      <w:r>
        <w:rPr>
          <w:rFonts w:hint="eastAsia" w:ascii="仿宋_GB2312" w:hAnsi="黑体" w:eastAsia="仿宋_GB2312"/>
          <w:bCs/>
          <w:color w:val="auto"/>
          <w:sz w:val="32"/>
          <w:szCs w:val="32"/>
          <w:highlight w:val="none"/>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highlight w:val="none"/>
        </w:rPr>
      </w:pPr>
      <w:r>
        <w:rPr>
          <w:rFonts w:hint="eastAsia" w:ascii="仿宋_GB2312" w:hAnsi="黑体"/>
          <w:b/>
          <w:color w:val="auto"/>
          <w:sz w:val="32"/>
          <w:szCs w:val="32"/>
          <w:highlight w:val="none"/>
          <w:lang w:val="en-US" w:eastAsia="zh-CN"/>
        </w:rPr>
        <w:t xml:space="preserve">    </w:t>
      </w:r>
      <w:r>
        <w:rPr>
          <w:rFonts w:hint="eastAsia" w:ascii="仿宋_GB2312" w:hAnsi="黑体" w:eastAsia="仿宋_GB2312"/>
          <w:b/>
          <w:color w:val="auto"/>
          <w:sz w:val="32"/>
          <w:szCs w:val="32"/>
          <w:highlight w:val="none"/>
        </w:rPr>
        <w:t>六、</w:t>
      </w:r>
      <w:r>
        <w:rPr>
          <w:rFonts w:hint="eastAsia" w:ascii="仿宋_GB2312" w:hAnsi="黑体" w:eastAsia="仿宋_GB2312"/>
          <w:b/>
          <w:bCs/>
          <w:color w:val="auto"/>
          <w:sz w:val="32"/>
          <w:szCs w:val="32"/>
          <w:highlight w:val="none"/>
        </w:rPr>
        <w:t>其他收入：</w:t>
      </w:r>
      <w:r>
        <w:rPr>
          <w:rFonts w:hint="eastAsia" w:ascii="仿宋_GB2312" w:hAnsi="黑体" w:eastAsia="仿宋_GB2312"/>
          <w:bCs/>
          <w:color w:val="auto"/>
          <w:sz w:val="32"/>
          <w:szCs w:val="32"/>
          <w:highlight w:val="none"/>
        </w:rPr>
        <w:t>指除财政拨款收入、事业收入、上级补助收入、附属单位上缴收入、经营收入以外的各项收</w:t>
      </w:r>
      <w:r>
        <w:rPr>
          <w:rFonts w:hint="eastAsia" w:ascii="仿宋_GB2312" w:hAnsi="仿宋"/>
          <w:color w:val="auto"/>
          <w:szCs w:val="32"/>
          <w:highlight w:val="none"/>
        </w:rPr>
        <w:t>入。</w:t>
      </w:r>
    </w:p>
    <w:p>
      <w:pPr>
        <w:adjustRightInd w:val="0"/>
        <w:snapToGrid w:val="0"/>
        <w:spacing w:line="600" w:lineRule="exact"/>
        <w:rPr>
          <w:rFonts w:hint="eastAsia" w:ascii="仿宋_GB2312" w:hAnsi="黑体" w:eastAsia="仿宋_GB2312"/>
          <w:bCs/>
          <w:color w:val="auto"/>
          <w:sz w:val="32"/>
          <w:szCs w:val="32"/>
          <w:highlight w:val="none"/>
          <w:lang w:eastAsia="zh-CN"/>
        </w:rPr>
      </w:pPr>
      <w:r>
        <w:rPr>
          <w:rFonts w:hint="eastAsia" w:ascii="仿宋_GB2312" w:hAnsi="黑体"/>
          <w:b/>
          <w:bCs/>
          <w:color w:val="auto"/>
          <w:sz w:val="32"/>
          <w:szCs w:val="32"/>
          <w:highlight w:val="none"/>
          <w:lang w:val="en-US" w:eastAsia="zh-CN"/>
        </w:rPr>
        <w:t xml:space="preserve">    </w:t>
      </w:r>
      <w:r>
        <w:rPr>
          <w:rFonts w:hint="eastAsia" w:ascii="仿宋_GB2312" w:hAnsi="黑体" w:eastAsia="仿宋_GB2312"/>
          <w:b/>
          <w:bCs/>
          <w:color w:val="auto"/>
          <w:sz w:val="32"/>
          <w:szCs w:val="32"/>
          <w:highlight w:val="none"/>
          <w:lang w:eastAsia="zh-CN"/>
        </w:rPr>
        <w:t>七</w:t>
      </w:r>
      <w:r>
        <w:rPr>
          <w:rFonts w:hint="eastAsia" w:ascii="仿宋_GB2312" w:hAnsi="仿宋"/>
          <w:color w:val="auto"/>
          <w:szCs w:val="32"/>
          <w:highlight w:val="none"/>
          <w:lang w:eastAsia="zh-CN"/>
        </w:rPr>
        <w:t>、</w:t>
      </w:r>
      <w:r>
        <w:rPr>
          <w:rFonts w:hint="eastAsia" w:ascii="仿宋_GB2312" w:hAnsi="黑体" w:eastAsia="仿宋_GB2312"/>
          <w:b/>
          <w:bCs/>
          <w:color w:val="auto"/>
          <w:sz w:val="32"/>
          <w:szCs w:val="32"/>
          <w:highlight w:val="none"/>
          <w:lang w:eastAsia="zh-CN"/>
        </w:rPr>
        <w:t>使用非财政拨款结余：</w:t>
      </w:r>
      <w:r>
        <w:rPr>
          <w:rFonts w:hint="eastAsia" w:ascii="仿宋_GB2312" w:hAnsi="黑体" w:eastAsia="仿宋_GB2312"/>
          <w:bCs/>
          <w:color w:val="auto"/>
          <w:sz w:val="32"/>
          <w:szCs w:val="32"/>
          <w:highlight w:val="none"/>
          <w:lang w:eastAsia="zh-CN"/>
        </w:rPr>
        <w:t>指事业单位使用以前年度积累的非财政拨款结余弥补当年收支差额的金额。</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lang w:eastAsia="zh-CN"/>
        </w:rPr>
        <w:t>八</w:t>
      </w:r>
      <w:r>
        <w:rPr>
          <w:rFonts w:hint="eastAsia" w:ascii="仿宋_GB2312" w:hAnsi="黑体" w:eastAsia="仿宋_GB2312"/>
          <w:b/>
          <w:bCs/>
          <w:color w:val="auto"/>
          <w:sz w:val="32"/>
          <w:szCs w:val="32"/>
          <w:highlight w:val="none"/>
        </w:rPr>
        <w:t>、年初结转和结余：</w:t>
      </w:r>
      <w:r>
        <w:rPr>
          <w:rFonts w:hint="eastAsia" w:ascii="仿宋_GB2312" w:hAnsi="黑体" w:eastAsia="仿宋_GB2312"/>
          <w:bCs/>
          <w:color w:val="auto"/>
          <w:sz w:val="32"/>
          <w:szCs w:val="32"/>
          <w:highlight w:val="none"/>
        </w:rPr>
        <w:t>指以前年度安排、结转到本年仍按原规定用途继续使用的资金。</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lang w:eastAsia="zh-CN"/>
        </w:rPr>
        <w:t>九</w:t>
      </w:r>
      <w:r>
        <w:rPr>
          <w:rFonts w:hint="eastAsia" w:ascii="仿宋_GB2312" w:hAnsi="黑体" w:eastAsia="仿宋_GB2312"/>
          <w:b/>
          <w:bCs/>
          <w:color w:val="auto"/>
          <w:sz w:val="32"/>
          <w:szCs w:val="32"/>
          <w:highlight w:val="none"/>
        </w:rPr>
        <w:t>、结余分配：</w:t>
      </w:r>
      <w:r>
        <w:rPr>
          <w:rFonts w:hint="eastAsia" w:ascii="仿宋_GB2312" w:hAnsi="黑体" w:eastAsia="仿宋_GB2312"/>
          <w:bCs/>
          <w:color w:val="auto"/>
          <w:sz w:val="32"/>
          <w:szCs w:val="32"/>
          <w:highlight w:val="none"/>
        </w:rPr>
        <w:t>指事业单位按照会计制度规定缴纳的所得税以及从非财政拨款结余中提取的职工福利基金、事业基金等。</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
          <w:color w:val="auto"/>
          <w:sz w:val="32"/>
          <w:szCs w:val="32"/>
          <w:highlight w:val="none"/>
        </w:rPr>
      </w:pPr>
      <w:r>
        <w:rPr>
          <w:rFonts w:hint="eastAsia" w:ascii="仿宋_GB2312" w:hAnsi="黑体" w:eastAsia="仿宋_GB2312"/>
          <w:b/>
          <w:bCs/>
          <w:color w:val="auto"/>
          <w:sz w:val="32"/>
          <w:szCs w:val="32"/>
          <w:highlight w:val="none"/>
          <w:lang w:eastAsia="zh-CN"/>
        </w:rPr>
        <w:t>十</w:t>
      </w:r>
      <w:r>
        <w:rPr>
          <w:rFonts w:hint="eastAsia" w:ascii="仿宋_GB2312" w:hAnsi="黑体" w:eastAsia="仿宋_GB2312"/>
          <w:b/>
          <w:bCs/>
          <w:color w:val="auto"/>
          <w:sz w:val="32"/>
          <w:szCs w:val="32"/>
          <w:highlight w:val="none"/>
        </w:rPr>
        <w:t>、年末结转和结余：</w:t>
      </w:r>
      <w:r>
        <w:rPr>
          <w:rFonts w:hint="eastAsia" w:ascii="仿宋_GB2312" w:hAnsi="黑体" w:eastAsia="仿宋_GB2312"/>
          <w:bCs/>
          <w:color w:val="auto"/>
          <w:sz w:val="32"/>
          <w:szCs w:val="32"/>
          <w:highlight w:val="none"/>
        </w:rPr>
        <w:t>指单位本年度或以前年度预算安排、因客观条件发生变化未全部执行或未执行，结转到以后年度继续使用的资金，或项目已经完成等产生的结余资金。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十</w:t>
      </w:r>
      <w:r>
        <w:rPr>
          <w:rFonts w:hint="eastAsia" w:ascii="仿宋_GB2312" w:hAnsi="黑体" w:eastAsia="仿宋_GB2312"/>
          <w:b/>
          <w:color w:val="auto"/>
          <w:sz w:val="32"/>
          <w:szCs w:val="32"/>
          <w:highlight w:val="none"/>
          <w:lang w:eastAsia="zh-CN"/>
        </w:rPr>
        <w:t>一</w:t>
      </w:r>
      <w:r>
        <w:rPr>
          <w:rFonts w:hint="eastAsia" w:ascii="仿宋_GB2312" w:hAnsi="黑体" w:eastAsia="仿宋_GB2312"/>
          <w:b/>
          <w:color w:val="auto"/>
          <w:sz w:val="32"/>
          <w:szCs w:val="32"/>
          <w:highlight w:val="none"/>
        </w:rPr>
        <w:t>、基本支出：</w:t>
      </w:r>
      <w:r>
        <w:rPr>
          <w:rFonts w:hint="eastAsia" w:ascii="仿宋_GB2312" w:hAnsi="黑体" w:eastAsia="仿宋_GB2312"/>
          <w:color w:val="auto"/>
          <w:sz w:val="32"/>
          <w:szCs w:val="32"/>
          <w:highlight w:val="none"/>
        </w:rPr>
        <w:t>指单位为保障其机构正常运转、完成日常工作任务而发生的人员支出和公用支出。</w:t>
      </w:r>
    </w:p>
    <w:p>
      <w:pPr>
        <w:pStyle w:val="6"/>
        <w:spacing w:before="0" w:beforeAutospacing="0" w:after="0" w:afterAutospacing="0" w:line="600" w:lineRule="exact"/>
        <w:ind w:firstLine="616" w:firstLineChars="196"/>
        <w:jc w:val="both"/>
        <w:rPr>
          <w:rFonts w:hint="eastAsia"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十</w:t>
      </w:r>
      <w:r>
        <w:rPr>
          <w:rFonts w:hint="eastAsia" w:ascii="仿宋_GB2312" w:hAnsi="黑体" w:eastAsia="仿宋_GB2312"/>
          <w:b/>
          <w:color w:val="auto"/>
          <w:sz w:val="32"/>
          <w:szCs w:val="32"/>
          <w:highlight w:val="none"/>
          <w:lang w:eastAsia="zh-CN"/>
        </w:rPr>
        <w:t>二</w:t>
      </w:r>
      <w:r>
        <w:rPr>
          <w:rFonts w:hint="eastAsia" w:ascii="仿宋_GB2312" w:hAnsi="黑体" w:eastAsia="仿宋_GB2312"/>
          <w:b/>
          <w:color w:val="auto"/>
          <w:sz w:val="32"/>
          <w:szCs w:val="32"/>
          <w:highlight w:val="none"/>
        </w:rPr>
        <w:t>、项目支出：</w:t>
      </w:r>
      <w:r>
        <w:rPr>
          <w:rFonts w:hint="eastAsia" w:ascii="仿宋_GB2312" w:hAnsi="黑体" w:eastAsia="仿宋_GB2312"/>
          <w:color w:val="auto"/>
          <w:sz w:val="32"/>
          <w:szCs w:val="32"/>
          <w:highlight w:val="none"/>
        </w:rPr>
        <w:t>指单位为完成特定行政任务和事业发展目标在基本支出之外所发生的支出。</w:t>
      </w:r>
      <w:r>
        <w:rPr>
          <w:rFonts w:hint="eastAsia" w:ascii="仿宋_GB2312" w:hAnsi="黑体" w:eastAsia="仿宋_GB2312"/>
          <w:color w:val="auto"/>
          <w:sz w:val="32"/>
          <w:szCs w:val="32"/>
          <w:highlight w:val="none"/>
        </w:rPr>
        <w:br w:type="textWrapping"/>
      </w:r>
      <w:r>
        <w:rPr>
          <w:rFonts w:hint="eastAsia" w:ascii="仿宋_GB2312" w:hAnsi="黑体" w:eastAsia="仿宋_GB2312"/>
          <w:color w:val="auto"/>
          <w:sz w:val="32"/>
          <w:szCs w:val="32"/>
          <w:highlight w:val="none"/>
        </w:rPr>
        <w:t xml:space="preserve">    </w:t>
      </w:r>
      <w:r>
        <w:rPr>
          <w:rFonts w:hint="eastAsia" w:ascii="仿宋_GB2312" w:hAnsi="黑体" w:eastAsia="仿宋_GB2312"/>
          <w:b/>
          <w:color w:val="auto"/>
          <w:sz w:val="32"/>
          <w:szCs w:val="32"/>
          <w:highlight w:val="none"/>
        </w:rPr>
        <w:t>十</w:t>
      </w:r>
      <w:r>
        <w:rPr>
          <w:rFonts w:hint="eastAsia" w:ascii="仿宋_GB2312" w:hAnsi="黑体" w:eastAsia="仿宋_GB2312"/>
          <w:b/>
          <w:color w:val="auto"/>
          <w:sz w:val="32"/>
          <w:szCs w:val="32"/>
          <w:highlight w:val="none"/>
          <w:lang w:eastAsia="zh-CN"/>
        </w:rPr>
        <w:t>三</w:t>
      </w:r>
      <w:r>
        <w:rPr>
          <w:rFonts w:hint="eastAsia" w:ascii="仿宋_GB2312" w:hAnsi="黑体" w:eastAsia="仿宋_GB2312"/>
          <w:b/>
          <w:color w:val="auto"/>
          <w:sz w:val="32"/>
          <w:szCs w:val="32"/>
          <w:highlight w:val="none"/>
        </w:rPr>
        <w:t>、经营支出：</w:t>
      </w:r>
      <w:r>
        <w:rPr>
          <w:rFonts w:hint="eastAsia" w:ascii="仿宋_GB2312" w:hAnsi="黑体" w:eastAsia="仿宋_GB2312"/>
          <w:color w:val="auto"/>
          <w:sz w:val="32"/>
          <w:szCs w:val="32"/>
          <w:highlight w:val="none"/>
        </w:rPr>
        <w:t>指事业单位在专业业务活动及其辅助活动之外开展非独立核算经营活动发生的支出。</w:t>
      </w:r>
    </w:p>
    <w:p>
      <w:pPr>
        <w:pStyle w:val="6"/>
        <w:spacing w:before="0" w:beforeAutospacing="0" w:after="0" w:afterAutospacing="0" w:line="600" w:lineRule="exact"/>
        <w:ind w:firstLine="616" w:firstLineChars="196"/>
        <w:jc w:val="both"/>
        <w:rPr>
          <w:rFonts w:hint="eastAsia"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十</w:t>
      </w:r>
      <w:r>
        <w:rPr>
          <w:rFonts w:hint="eastAsia" w:ascii="仿宋_GB2312" w:hAnsi="黑体" w:eastAsia="仿宋_GB2312"/>
          <w:b/>
          <w:color w:val="auto"/>
          <w:sz w:val="32"/>
          <w:szCs w:val="32"/>
          <w:highlight w:val="none"/>
          <w:lang w:eastAsia="zh-CN"/>
        </w:rPr>
        <w:t>四</w:t>
      </w:r>
      <w:r>
        <w:rPr>
          <w:rFonts w:hint="eastAsia" w:ascii="仿宋_GB2312" w:hAnsi="黑体" w:eastAsia="仿宋_GB2312"/>
          <w:b/>
          <w:color w:val="auto"/>
          <w:sz w:val="32"/>
          <w:szCs w:val="32"/>
          <w:highlight w:val="none"/>
        </w:rPr>
        <w:t>、“三公”经费：</w:t>
      </w:r>
      <w:r>
        <w:rPr>
          <w:rFonts w:hint="eastAsia" w:ascii="仿宋_GB2312" w:hAnsi="黑体" w:eastAsia="仿宋_GB2312"/>
          <w:color w:val="auto"/>
          <w:sz w:val="32"/>
          <w:szCs w:val="32"/>
          <w:highlight w:val="none"/>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支出。</w:t>
      </w:r>
    </w:p>
    <w:p>
      <w:pPr>
        <w:pStyle w:val="6"/>
        <w:spacing w:before="0" w:beforeAutospacing="0" w:after="0" w:afterAutospacing="0" w:line="600" w:lineRule="exact"/>
        <w:ind w:firstLine="616" w:firstLineChars="196"/>
        <w:jc w:val="both"/>
        <w:rPr>
          <w:rFonts w:hint="eastAsia"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十</w:t>
      </w:r>
      <w:r>
        <w:rPr>
          <w:rFonts w:hint="eastAsia" w:ascii="仿宋_GB2312" w:hAnsi="黑体" w:eastAsia="仿宋_GB2312"/>
          <w:b/>
          <w:color w:val="auto"/>
          <w:sz w:val="32"/>
          <w:szCs w:val="32"/>
          <w:highlight w:val="none"/>
          <w:lang w:eastAsia="zh-CN"/>
        </w:rPr>
        <w:t>五</w:t>
      </w:r>
      <w:r>
        <w:rPr>
          <w:rFonts w:hint="eastAsia" w:ascii="仿宋_GB2312" w:hAnsi="黑体" w:eastAsia="仿宋_GB2312"/>
          <w:b/>
          <w:color w:val="auto"/>
          <w:sz w:val="32"/>
          <w:szCs w:val="32"/>
          <w:highlight w:val="none"/>
        </w:rPr>
        <w:t>、机关运行经费</w:t>
      </w:r>
      <w:r>
        <w:rPr>
          <w:rFonts w:hint="eastAsia" w:ascii="仿宋_GB2312" w:hAnsi="黑体" w:eastAsia="仿宋_GB2312"/>
          <w:color w:val="auto"/>
          <w:sz w:val="32"/>
          <w:szCs w:val="32"/>
          <w:highlight w:val="none"/>
        </w:rPr>
        <w:t>：</w:t>
      </w:r>
      <w:r>
        <w:rPr>
          <w:rFonts w:hint="eastAsia" w:ascii="仿宋_GB2312" w:eastAsia="仿宋_GB2312"/>
          <w:color w:val="auto"/>
          <w:sz w:val="32"/>
          <w:szCs w:val="32"/>
          <w:highlight w:val="none"/>
        </w:rPr>
        <w:t>指为保障行政单位（含参照公务员法管理的事业单位）运行用于购买货物和服务的各项资金</w:t>
      </w:r>
      <w:r>
        <w:rPr>
          <w:rFonts w:hint="eastAsia" w:ascii="仿宋_GB2312" w:hAnsi="Times New Roman" w:eastAsia="仿宋_GB2312"/>
          <w:color w:val="auto"/>
          <w:kern w:val="2"/>
          <w:sz w:val="32"/>
          <w:szCs w:val="32"/>
          <w:highlight w:val="none"/>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28" w:firstLineChars="200"/>
        <w:rPr>
          <w:rFonts w:hint="eastAsia" w:ascii="黑体" w:hAnsi="黑体" w:eastAsia="黑体"/>
          <w:color w:val="auto"/>
          <w:szCs w:val="32"/>
          <w:highlight w:val="none"/>
          <w:lang w:eastAsia="zh-CN"/>
        </w:rPr>
      </w:pPr>
    </w:p>
    <w:p>
      <w:pPr>
        <w:adjustRightInd w:val="0"/>
        <w:snapToGrid w:val="0"/>
        <w:spacing w:line="600" w:lineRule="exact"/>
        <w:ind w:firstLine="628" w:firstLineChars="200"/>
        <w:rPr>
          <w:rFonts w:hint="eastAsia" w:ascii="仿宋_GB2312" w:hAnsi="Times New Roman" w:eastAsia="仿宋_GB2312" w:cs="宋体"/>
          <w:color w:val="auto"/>
          <w:kern w:val="2"/>
          <w:sz w:val="32"/>
          <w:szCs w:val="32"/>
          <w:highlight w:val="none"/>
          <w:lang w:val="en-US" w:eastAsia="zh-CN" w:bidi="ar-SA"/>
        </w:rPr>
      </w:pPr>
      <w:r>
        <w:rPr>
          <w:rFonts w:hint="eastAsia" w:ascii="黑体" w:hAnsi="黑体" w:eastAsia="黑体"/>
          <w:color w:val="auto"/>
          <w:szCs w:val="32"/>
          <w:highlight w:val="none"/>
          <w:lang w:eastAsia="zh-CN"/>
        </w:rPr>
        <w:t>附件：</w:t>
      </w:r>
      <w:r>
        <w:rPr>
          <w:rFonts w:hint="eastAsia" w:ascii="仿宋_GB2312" w:hAnsi="Times New Roman" w:cs="宋体"/>
          <w:color w:val="auto"/>
          <w:kern w:val="2"/>
          <w:sz w:val="32"/>
          <w:szCs w:val="32"/>
          <w:highlight w:val="none"/>
          <w:lang w:val="en-US" w:eastAsia="zh-CN" w:bidi="ar-SA"/>
        </w:rPr>
        <w:t>2023</w:t>
      </w:r>
      <w:r>
        <w:rPr>
          <w:rFonts w:hint="eastAsia" w:ascii="仿宋_GB2312" w:hAnsi="Times New Roman" w:eastAsia="仿宋_GB2312" w:cs="宋体"/>
          <w:color w:val="auto"/>
          <w:kern w:val="2"/>
          <w:sz w:val="32"/>
          <w:szCs w:val="32"/>
          <w:highlight w:val="none"/>
          <w:lang w:val="en-US" w:eastAsia="zh-CN" w:bidi="ar-SA"/>
        </w:rPr>
        <w:t>年度</w:t>
      </w:r>
      <w:r>
        <w:rPr>
          <w:rFonts w:hint="eastAsia" w:ascii="仿宋_GB2312" w:hAnsi="仿宋_GB2312" w:eastAsia="仿宋_GB2312" w:cs="仿宋_GB2312"/>
          <w:bCs/>
          <w:color w:val="auto"/>
          <w:sz w:val="32"/>
          <w:szCs w:val="32"/>
          <w:highlight w:val="none"/>
          <w:lang w:eastAsia="zh-CN"/>
        </w:rPr>
        <w:t>项目支出绩效自评表</w:t>
      </w:r>
      <w:r>
        <w:rPr>
          <w:rFonts w:hint="eastAsia" w:ascii="仿宋_GB2312" w:hAnsi="仿宋_GB2312" w:cs="仿宋_GB2312"/>
          <w:bCs/>
          <w:color w:val="auto"/>
          <w:sz w:val="32"/>
          <w:szCs w:val="32"/>
          <w:highlight w:val="none"/>
          <w:lang w:eastAsia="zh-CN"/>
        </w:rPr>
        <w:t>财政支持金融发展专项经费</w:t>
      </w:r>
      <w:r>
        <w:rPr>
          <w:rFonts w:hint="eastAsia" w:ascii="仿宋_GB2312" w:hAnsi="Times New Roman" w:eastAsia="仿宋_GB2312" w:cs="宋体"/>
          <w:color w:val="auto"/>
          <w:kern w:val="2"/>
          <w:sz w:val="32"/>
          <w:szCs w:val="32"/>
          <w:highlight w:val="none"/>
          <w:lang w:val="en-US" w:eastAsia="zh-CN" w:bidi="ar-SA"/>
        </w:rPr>
        <w:t>项目绩效评价报告</w:t>
      </w: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p>
    <w:p>
      <w:pPr>
        <w:pStyle w:val="2"/>
        <w:jc w:val="both"/>
        <w:rPr>
          <w:rFonts w:hint="eastAsia"/>
          <w:color w:val="auto"/>
          <w:highlight w:val="none"/>
        </w:rPr>
      </w:pPr>
      <w:bookmarkStart w:id="0" w:name="_GoBack"/>
      <w:bookmarkEnd w:id="0"/>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652FE70-56ED-4FF7-A928-EEA1D1592EBA}"/>
  </w:font>
  <w:font w:name="黑体">
    <w:panose1 w:val="02010609060101010101"/>
    <w:charset w:val="86"/>
    <w:family w:val="auto"/>
    <w:pitch w:val="default"/>
    <w:sig w:usb0="800002BF" w:usb1="38CF7CFA" w:usb2="00000016" w:usb3="00000000" w:csb0="00040001" w:csb1="00000000"/>
    <w:embedRegular r:id="rId2" w:fontKey="{698BA265-F3D6-4C18-A672-A9D56E179A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FA60A2D-3807-4CA0-9FA7-866507F58D86}"/>
  </w:font>
  <w:font w:name="华文中宋">
    <w:panose1 w:val="02010600040101010101"/>
    <w:charset w:val="86"/>
    <w:family w:val="auto"/>
    <w:pitch w:val="default"/>
    <w:sig w:usb0="00000287" w:usb1="080F0000" w:usb2="00000000" w:usb3="00000000" w:csb0="0004009F" w:csb1="DFD70000"/>
    <w:embedRegular r:id="rId4" w:fontKey="{08BDF626-40E1-4DCD-8136-7ED76DF3A503}"/>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DB88B4DE-7793-417B-837A-8ADE34CDDED7}"/>
  </w:font>
  <w:font w:name="楷体">
    <w:panose1 w:val="02010609060101010101"/>
    <w:charset w:val="86"/>
    <w:family w:val="modern"/>
    <w:pitch w:val="default"/>
    <w:sig w:usb0="800002BF" w:usb1="38CF7CFA" w:usb2="00000016" w:usb3="00000000" w:csb0="00040001" w:csb1="00000000"/>
    <w:embedRegular r:id="rId6" w:fontKey="{CB8C95B2-7C99-4023-86EA-A4DA3517473D}"/>
  </w:font>
  <w:font w:name="楷体_GB2312">
    <w:panose1 w:val="02010609030101010101"/>
    <w:charset w:val="86"/>
    <w:family w:val="modern"/>
    <w:pitch w:val="default"/>
    <w:sig w:usb0="00000001" w:usb1="080E0000" w:usb2="00000000" w:usb3="00000000" w:csb0="00040000" w:csb1="00000000"/>
    <w:embedRegular r:id="rId7" w:fontKey="{C129124A-C266-4EC5-AC14-8D585266BE42}"/>
  </w:font>
  <w:font w:name="方正黑体_GBK">
    <w:panose1 w:val="03000509000000000000"/>
    <w:charset w:val="86"/>
    <w:family w:val="auto"/>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50</w:t>
    </w:r>
    <w:r>
      <w:rPr>
        <w:rFonts w:hint="eastAsia" w:ascii="仿宋_GB2312"/>
        <w:sz w:val="28"/>
        <w:szCs w:val="28"/>
      </w:rPr>
      <w:fldChar w:fldCharType="end"/>
    </w:r>
    <w:r>
      <w:rPr>
        <w:rStyle w:val="11"/>
        <w:rFonts w:hint="eastAsia" w:ascii="仿宋_GB2312"/>
        <w:sz w:val="28"/>
        <w:szCs w:val="28"/>
      </w:rPr>
      <w:t>-</w:t>
    </w:r>
  </w:p>
  <w:p>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5CACF"/>
    <w:multiLevelType w:val="singleLevel"/>
    <w:tmpl w:val="3A25CACF"/>
    <w:lvl w:ilvl="0" w:tentative="0">
      <w:start w:val="6"/>
      <w:numFmt w:val="decimal"/>
      <w:suff w:val="nothing"/>
      <w:lvlText w:val="%1．"/>
      <w:lvlJc w:val="left"/>
    </w:lvl>
  </w:abstractNum>
  <w:abstractNum w:abstractNumId="1">
    <w:nsid w:val="64CB71D1"/>
    <w:multiLevelType w:val="singleLevel"/>
    <w:tmpl w:val="64CB71D1"/>
    <w:lvl w:ilvl="0" w:tentative="0">
      <w:start w:val="4"/>
      <w:numFmt w:val="chineseCounting"/>
      <w:suff w:val="nothing"/>
      <w:lvlText w:val="（%1）"/>
      <w:lvlJc w:val="left"/>
    </w:lvl>
  </w:abstractNum>
  <w:abstractNum w:abstractNumId="2">
    <w:nsid w:val="78702C4B"/>
    <w:multiLevelType w:val="singleLevel"/>
    <w:tmpl w:val="78702C4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 w:name="KSO_WPS_MARK_KEY" w:val="ffe36b79-cfd9-44d3-98e6-6ac631d40a6c"/>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E3755"/>
    <w:rsid w:val="008F74E4"/>
    <w:rsid w:val="00901A3B"/>
    <w:rsid w:val="009038F2"/>
    <w:rsid w:val="00907509"/>
    <w:rsid w:val="0091224B"/>
    <w:rsid w:val="00912781"/>
    <w:rsid w:val="00916E37"/>
    <w:rsid w:val="00917040"/>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2F6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18D6A3B"/>
    <w:rsid w:val="01AF0223"/>
    <w:rsid w:val="01FC5479"/>
    <w:rsid w:val="020470A2"/>
    <w:rsid w:val="02662F8E"/>
    <w:rsid w:val="02F446D9"/>
    <w:rsid w:val="03031D34"/>
    <w:rsid w:val="032F118C"/>
    <w:rsid w:val="036A1701"/>
    <w:rsid w:val="037F5610"/>
    <w:rsid w:val="03AC558F"/>
    <w:rsid w:val="03CD24C5"/>
    <w:rsid w:val="048C1429"/>
    <w:rsid w:val="04C41932"/>
    <w:rsid w:val="04C563EE"/>
    <w:rsid w:val="04CB6713"/>
    <w:rsid w:val="04D740EA"/>
    <w:rsid w:val="04D96810"/>
    <w:rsid w:val="04FC1B01"/>
    <w:rsid w:val="050644EF"/>
    <w:rsid w:val="05640107"/>
    <w:rsid w:val="057E23CB"/>
    <w:rsid w:val="058028FD"/>
    <w:rsid w:val="05962D64"/>
    <w:rsid w:val="05973710"/>
    <w:rsid w:val="05AA638E"/>
    <w:rsid w:val="05B37F18"/>
    <w:rsid w:val="06277CEB"/>
    <w:rsid w:val="062D447B"/>
    <w:rsid w:val="06427E28"/>
    <w:rsid w:val="069617D1"/>
    <w:rsid w:val="069778EC"/>
    <w:rsid w:val="06A51684"/>
    <w:rsid w:val="06A74650"/>
    <w:rsid w:val="06D87F7C"/>
    <w:rsid w:val="073B5111"/>
    <w:rsid w:val="079923C4"/>
    <w:rsid w:val="07DD656C"/>
    <w:rsid w:val="07FC008A"/>
    <w:rsid w:val="08434438"/>
    <w:rsid w:val="08D4249C"/>
    <w:rsid w:val="097970E4"/>
    <w:rsid w:val="09D41E1F"/>
    <w:rsid w:val="09DB740D"/>
    <w:rsid w:val="0A186CBD"/>
    <w:rsid w:val="0A344C8A"/>
    <w:rsid w:val="0A625628"/>
    <w:rsid w:val="0AD84E6E"/>
    <w:rsid w:val="0AE33E6F"/>
    <w:rsid w:val="0B0D5E11"/>
    <w:rsid w:val="0C286334"/>
    <w:rsid w:val="0C3F7926"/>
    <w:rsid w:val="0C9421CF"/>
    <w:rsid w:val="0C99262E"/>
    <w:rsid w:val="0D25744A"/>
    <w:rsid w:val="0D501516"/>
    <w:rsid w:val="0D8E3CBA"/>
    <w:rsid w:val="0E4D3EC7"/>
    <w:rsid w:val="0EEB27C0"/>
    <w:rsid w:val="0F2F1F22"/>
    <w:rsid w:val="0F3D1675"/>
    <w:rsid w:val="0F6B66D0"/>
    <w:rsid w:val="0F904DDC"/>
    <w:rsid w:val="0FAE2A12"/>
    <w:rsid w:val="0FB53B62"/>
    <w:rsid w:val="102F2F28"/>
    <w:rsid w:val="11441F10"/>
    <w:rsid w:val="11577FA5"/>
    <w:rsid w:val="11943190"/>
    <w:rsid w:val="11AF0379"/>
    <w:rsid w:val="120A6FE9"/>
    <w:rsid w:val="12930507"/>
    <w:rsid w:val="12B57350"/>
    <w:rsid w:val="12EF7268"/>
    <w:rsid w:val="134F75B9"/>
    <w:rsid w:val="13974CC7"/>
    <w:rsid w:val="13A45AAA"/>
    <w:rsid w:val="13AF3EFF"/>
    <w:rsid w:val="13F62541"/>
    <w:rsid w:val="13FE041F"/>
    <w:rsid w:val="1402167D"/>
    <w:rsid w:val="143141DF"/>
    <w:rsid w:val="14430096"/>
    <w:rsid w:val="14604344"/>
    <w:rsid w:val="14AC19D4"/>
    <w:rsid w:val="14B03B02"/>
    <w:rsid w:val="150A2C22"/>
    <w:rsid w:val="151C0235"/>
    <w:rsid w:val="15763522"/>
    <w:rsid w:val="15A63E23"/>
    <w:rsid w:val="15B97529"/>
    <w:rsid w:val="15E90DA2"/>
    <w:rsid w:val="15EF68BB"/>
    <w:rsid w:val="161A15EA"/>
    <w:rsid w:val="163102AF"/>
    <w:rsid w:val="168B3820"/>
    <w:rsid w:val="16922E00"/>
    <w:rsid w:val="16BF3E04"/>
    <w:rsid w:val="16CA24C3"/>
    <w:rsid w:val="170F06E0"/>
    <w:rsid w:val="1741472D"/>
    <w:rsid w:val="178F0BF6"/>
    <w:rsid w:val="17AC4E12"/>
    <w:rsid w:val="17E50469"/>
    <w:rsid w:val="180811E7"/>
    <w:rsid w:val="18733B97"/>
    <w:rsid w:val="18D36A6C"/>
    <w:rsid w:val="19062B2E"/>
    <w:rsid w:val="195101D3"/>
    <w:rsid w:val="19D329F1"/>
    <w:rsid w:val="1A6C68D0"/>
    <w:rsid w:val="1A840191"/>
    <w:rsid w:val="1A9B5E0D"/>
    <w:rsid w:val="1B211ABA"/>
    <w:rsid w:val="1B373A1F"/>
    <w:rsid w:val="1BE86C51"/>
    <w:rsid w:val="1C064AEF"/>
    <w:rsid w:val="1C07405E"/>
    <w:rsid w:val="1C204A0A"/>
    <w:rsid w:val="1C8328DB"/>
    <w:rsid w:val="1C945883"/>
    <w:rsid w:val="1CAF37C7"/>
    <w:rsid w:val="1CF67275"/>
    <w:rsid w:val="1CF94AE5"/>
    <w:rsid w:val="1E16425B"/>
    <w:rsid w:val="1E301185"/>
    <w:rsid w:val="1E3D6F95"/>
    <w:rsid w:val="1E77299F"/>
    <w:rsid w:val="1EA32A89"/>
    <w:rsid w:val="1EAE7F4C"/>
    <w:rsid w:val="1EFE52E4"/>
    <w:rsid w:val="1F497106"/>
    <w:rsid w:val="1F765E61"/>
    <w:rsid w:val="1FB632AB"/>
    <w:rsid w:val="20CE5E07"/>
    <w:rsid w:val="20D047CD"/>
    <w:rsid w:val="20D16BD6"/>
    <w:rsid w:val="20D5569A"/>
    <w:rsid w:val="21150DB2"/>
    <w:rsid w:val="212D7667"/>
    <w:rsid w:val="21320A0C"/>
    <w:rsid w:val="21596500"/>
    <w:rsid w:val="217331A3"/>
    <w:rsid w:val="21A916CE"/>
    <w:rsid w:val="21B44D47"/>
    <w:rsid w:val="226B5FA3"/>
    <w:rsid w:val="22847CED"/>
    <w:rsid w:val="22EF3388"/>
    <w:rsid w:val="22F14349"/>
    <w:rsid w:val="22FF23F2"/>
    <w:rsid w:val="23BB1880"/>
    <w:rsid w:val="24015CC0"/>
    <w:rsid w:val="24AC24F9"/>
    <w:rsid w:val="24D142EB"/>
    <w:rsid w:val="25054DA3"/>
    <w:rsid w:val="251C059D"/>
    <w:rsid w:val="259A3439"/>
    <w:rsid w:val="25AC2D77"/>
    <w:rsid w:val="25BA1CDF"/>
    <w:rsid w:val="26107387"/>
    <w:rsid w:val="262B342F"/>
    <w:rsid w:val="269270C3"/>
    <w:rsid w:val="26C7206F"/>
    <w:rsid w:val="26DB04BF"/>
    <w:rsid w:val="26E207E3"/>
    <w:rsid w:val="26FC2E66"/>
    <w:rsid w:val="277A3B68"/>
    <w:rsid w:val="27960D02"/>
    <w:rsid w:val="27D44A08"/>
    <w:rsid w:val="28026729"/>
    <w:rsid w:val="283106F7"/>
    <w:rsid w:val="288805CC"/>
    <w:rsid w:val="289D1BC0"/>
    <w:rsid w:val="28E911D2"/>
    <w:rsid w:val="28EF4019"/>
    <w:rsid w:val="28F54A8B"/>
    <w:rsid w:val="29B57C40"/>
    <w:rsid w:val="2A9C1949"/>
    <w:rsid w:val="2B082296"/>
    <w:rsid w:val="2B2B17B3"/>
    <w:rsid w:val="2B6023F9"/>
    <w:rsid w:val="2C2646E8"/>
    <w:rsid w:val="2C572ACC"/>
    <w:rsid w:val="2C591AFD"/>
    <w:rsid w:val="2C754E45"/>
    <w:rsid w:val="2C9121A0"/>
    <w:rsid w:val="2CE00C6B"/>
    <w:rsid w:val="2D0558F8"/>
    <w:rsid w:val="2D150497"/>
    <w:rsid w:val="2D366AA8"/>
    <w:rsid w:val="2D674EEC"/>
    <w:rsid w:val="2D855697"/>
    <w:rsid w:val="2D9B0C52"/>
    <w:rsid w:val="2DC101FE"/>
    <w:rsid w:val="2E0F140F"/>
    <w:rsid w:val="2E483DE0"/>
    <w:rsid w:val="2EAC39F0"/>
    <w:rsid w:val="2F406E53"/>
    <w:rsid w:val="2F9900EE"/>
    <w:rsid w:val="2FE40D78"/>
    <w:rsid w:val="301A42E3"/>
    <w:rsid w:val="30247E23"/>
    <w:rsid w:val="306731C7"/>
    <w:rsid w:val="30927610"/>
    <w:rsid w:val="30EC1923"/>
    <w:rsid w:val="31183F43"/>
    <w:rsid w:val="31647AC5"/>
    <w:rsid w:val="31710A09"/>
    <w:rsid w:val="317625C2"/>
    <w:rsid w:val="31B9528D"/>
    <w:rsid w:val="321A0F39"/>
    <w:rsid w:val="327A4D1A"/>
    <w:rsid w:val="32C26F69"/>
    <w:rsid w:val="33530F97"/>
    <w:rsid w:val="33704DE7"/>
    <w:rsid w:val="33710884"/>
    <w:rsid w:val="33904A9E"/>
    <w:rsid w:val="33AD6D7C"/>
    <w:rsid w:val="347A2CB6"/>
    <w:rsid w:val="34B27CBE"/>
    <w:rsid w:val="353027E9"/>
    <w:rsid w:val="353B5DF8"/>
    <w:rsid w:val="35451FBD"/>
    <w:rsid w:val="35630E43"/>
    <w:rsid w:val="35E061DA"/>
    <w:rsid w:val="363E3967"/>
    <w:rsid w:val="36467173"/>
    <w:rsid w:val="365C63D1"/>
    <w:rsid w:val="36BD3696"/>
    <w:rsid w:val="36E80841"/>
    <w:rsid w:val="36F909D9"/>
    <w:rsid w:val="372613F6"/>
    <w:rsid w:val="374D3D5F"/>
    <w:rsid w:val="379225FF"/>
    <w:rsid w:val="37D206DE"/>
    <w:rsid w:val="37F52655"/>
    <w:rsid w:val="382A650A"/>
    <w:rsid w:val="387D1690"/>
    <w:rsid w:val="388E78D0"/>
    <w:rsid w:val="38926FF9"/>
    <w:rsid w:val="38B1463C"/>
    <w:rsid w:val="38CF7544"/>
    <w:rsid w:val="38E538D0"/>
    <w:rsid w:val="38EB5892"/>
    <w:rsid w:val="39166122"/>
    <w:rsid w:val="392F0E52"/>
    <w:rsid w:val="397C45EF"/>
    <w:rsid w:val="398365E5"/>
    <w:rsid w:val="39FE0A16"/>
    <w:rsid w:val="3A025824"/>
    <w:rsid w:val="3A1871C2"/>
    <w:rsid w:val="3A572246"/>
    <w:rsid w:val="3A5A0B83"/>
    <w:rsid w:val="3A814868"/>
    <w:rsid w:val="3A9B1AED"/>
    <w:rsid w:val="3AE80E0E"/>
    <w:rsid w:val="3B9D0646"/>
    <w:rsid w:val="3B9D0BF6"/>
    <w:rsid w:val="3BA30EC6"/>
    <w:rsid w:val="3BA702D8"/>
    <w:rsid w:val="3C0C00C1"/>
    <w:rsid w:val="3C447915"/>
    <w:rsid w:val="3C4736F3"/>
    <w:rsid w:val="3C66585F"/>
    <w:rsid w:val="3C803331"/>
    <w:rsid w:val="3C8B37B4"/>
    <w:rsid w:val="3CF84C7D"/>
    <w:rsid w:val="3D3C3BAB"/>
    <w:rsid w:val="3D643784"/>
    <w:rsid w:val="3DA52830"/>
    <w:rsid w:val="3DBA7F9C"/>
    <w:rsid w:val="3E6B58E4"/>
    <w:rsid w:val="3E7C0103"/>
    <w:rsid w:val="3E9A01AE"/>
    <w:rsid w:val="3EC00426"/>
    <w:rsid w:val="3ECE5BB1"/>
    <w:rsid w:val="3F080EF8"/>
    <w:rsid w:val="3F6D0E09"/>
    <w:rsid w:val="3F943D06"/>
    <w:rsid w:val="3FA63EB8"/>
    <w:rsid w:val="40B04939"/>
    <w:rsid w:val="414F6C9A"/>
    <w:rsid w:val="4159008E"/>
    <w:rsid w:val="416B005E"/>
    <w:rsid w:val="41B500C6"/>
    <w:rsid w:val="41DC5F52"/>
    <w:rsid w:val="42A71379"/>
    <w:rsid w:val="42DB6BCE"/>
    <w:rsid w:val="431A2371"/>
    <w:rsid w:val="4371561D"/>
    <w:rsid w:val="43E26C03"/>
    <w:rsid w:val="43F77D7C"/>
    <w:rsid w:val="43FE1DAA"/>
    <w:rsid w:val="443A225E"/>
    <w:rsid w:val="44F36E2B"/>
    <w:rsid w:val="451C463E"/>
    <w:rsid w:val="4566436F"/>
    <w:rsid w:val="45783803"/>
    <w:rsid w:val="464210EF"/>
    <w:rsid w:val="4677609B"/>
    <w:rsid w:val="46AE4710"/>
    <w:rsid w:val="46BC2BE0"/>
    <w:rsid w:val="46DE16E6"/>
    <w:rsid w:val="46F4342A"/>
    <w:rsid w:val="471269E3"/>
    <w:rsid w:val="472D13C4"/>
    <w:rsid w:val="474306D8"/>
    <w:rsid w:val="47682A1B"/>
    <w:rsid w:val="47D728D8"/>
    <w:rsid w:val="47DE1152"/>
    <w:rsid w:val="48354AC9"/>
    <w:rsid w:val="48720F4A"/>
    <w:rsid w:val="48825AD8"/>
    <w:rsid w:val="4887656A"/>
    <w:rsid w:val="48FA43CE"/>
    <w:rsid w:val="490D070B"/>
    <w:rsid w:val="490E3B23"/>
    <w:rsid w:val="493A5F88"/>
    <w:rsid w:val="49A13C1D"/>
    <w:rsid w:val="49A1619B"/>
    <w:rsid w:val="49C26AFB"/>
    <w:rsid w:val="49E044FA"/>
    <w:rsid w:val="49FF3464"/>
    <w:rsid w:val="4A2710A3"/>
    <w:rsid w:val="4A6F414D"/>
    <w:rsid w:val="4A8F7A77"/>
    <w:rsid w:val="4A9816CD"/>
    <w:rsid w:val="4AB2325F"/>
    <w:rsid w:val="4AB73EEE"/>
    <w:rsid w:val="4ABF7B76"/>
    <w:rsid w:val="4AE17ABA"/>
    <w:rsid w:val="4B0F33F1"/>
    <w:rsid w:val="4B197048"/>
    <w:rsid w:val="4B4D6079"/>
    <w:rsid w:val="4B985075"/>
    <w:rsid w:val="4BAF3CBE"/>
    <w:rsid w:val="4BFB573F"/>
    <w:rsid w:val="4C2F61EB"/>
    <w:rsid w:val="4C8D32F1"/>
    <w:rsid w:val="4D23233C"/>
    <w:rsid w:val="4D403002"/>
    <w:rsid w:val="4D6528FF"/>
    <w:rsid w:val="4D72597F"/>
    <w:rsid w:val="4DF76E98"/>
    <w:rsid w:val="4DFC150E"/>
    <w:rsid w:val="4E1777F1"/>
    <w:rsid w:val="4E2D698F"/>
    <w:rsid w:val="4E43720D"/>
    <w:rsid w:val="4E991FAA"/>
    <w:rsid w:val="4EA11C19"/>
    <w:rsid w:val="4ED36FD8"/>
    <w:rsid w:val="4EDC42B9"/>
    <w:rsid w:val="4EDC6DB3"/>
    <w:rsid w:val="4F9C6B30"/>
    <w:rsid w:val="50572FFB"/>
    <w:rsid w:val="506F09EB"/>
    <w:rsid w:val="50926F7D"/>
    <w:rsid w:val="50B5421B"/>
    <w:rsid w:val="51234079"/>
    <w:rsid w:val="51724461"/>
    <w:rsid w:val="517B3F47"/>
    <w:rsid w:val="525D7324"/>
    <w:rsid w:val="52606CB4"/>
    <w:rsid w:val="527741E6"/>
    <w:rsid w:val="527C26D4"/>
    <w:rsid w:val="528F76AD"/>
    <w:rsid w:val="52965CAB"/>
    <w:rsid w:val="5297601F"/>
    <w:rsid w:val="52AB135C"/>
    <w:rsid w:val="52BE3653"/>
    <w:rsid w:val="530F2C68"/>
    <w:rsid w:val="533F73BA"/>
    <w:rsid w:val="53816B17"/>
    <w:rsid w:val="53A30CFA"/>
    <w:rsid w:val="53A65D90"/>
    <w:rsid w:val="53C92BCA"/>
    <w:rsid w:val="541E61C1"/>
    <w:rsid w:val="5437714B"/>
    <w:rsid w:val="544F7A48"/>
    <w:rsid w:val="5491716D"/>
    <w:rsid w:val="54B12D02"/>
    <w:rsid w:val="54E927F1"/>
    <w:rsid w:val="553C2D4B"/>
    <w:rsid w:val="557C7821"/>
    <w:rsid w:val="55C35CEE"/>
    <w:rsid w:val="55D452C6"/>
    <w:rsid w:val="55F569BB"/>
    <w:rsid w:val="56621059"/>
    <w:rsid w:val="568C79B1"/>
    <w:rsid w:val="57063C7B"/>
    <w:rsid w:val="57261D4E"/>
    <w:rsid w:val="574526DB"/>
    <w:rsid w:val="57556065"/>
    <w:rsid w:val="57593AEA"/>
    <w:rsid w:val="57CB70D2"/>
    <w:rsid w:val="57DB53EB"/>
    <w:rsid w:val="580F624C"/>
    <w:rsid w:val="58473994"/>
    <w:rsid w:val="585F45EF"/>
    <w:rsid w:val="58890CE5"/>
    <w:rsid w:val="588C747E"/>
    <w:rsid w:val="58901A0E"/>
    <w:rsid w:val="58D66304"/>
    <w:rsid w:val="58E66C42"/>
    <w:rsid w:val="58F72073"/>
    <w:rsid w:val="59A341F3"/>
    <w:rsid w:val="5A115376"/>
    <w:rsid w:val="5A9C32F9"/>
    <w:rsid w:val="5AF059A6"/>
    <w:rsid w:val="5AF2705B"/>
    <w:rsid w:val="5C5E440D"/>
    <w:rsid w:val="5C852632"/>
    <w:rsid w:val="5CAD21A3"/>
    <w:rsid w:val="5DE55039"/>
    <w:rsid w:val="5E664A71"/>
    <w:rsid w:val="5ECA2F7A"/>
    <w:rsid w:val="5F4C21C0"/>
    <w:rsid w:val="5F85706F"/>
    <w:rsid w:val="5FDB54AC"/>
    <w:rsid w:val="5FF83F67"/>
    <w:rsid w:val="5FFA5271"/>
    <w:rsid w:val="60325328"/>
    <w:rsid w:val="605A11DB"/>
    <w:rsid w:val="60622983"/>
    <w:rsid w:val="6091004E"/>
    <w:rsid w:val="60A92DCD"/>
    <w:rsid w:val="60B40102"/>
    <w:rsid w:val="60B47D57"/>
    <w:rsid w:val="60E07719"/>
    <w:rsid w:val="60F06DC8"/>
    <w:rsid w:val="61031365"/>
    <w:rsid w:val="610331CE"/>
    <w:rsid w:val="610F56D3"/>
    <w:rsid w:val="612B48C4"/>
    <w:rsid w:val="613B08F2"/>
    <w:rsid w:val="614B13EF"/>
    <w:rsid w:val="6173365F"/>
    <w:rsid w:val="61DB4A59"/>
    <w:rsid w:val="61DD0604"/>
    <w:rsid w:val="62390595"/>
    <w:rsid w:val="62603C65"/>
    <w:rsid w:val="62726493"/>
    <w:rsid w:val="62B01A26"/>
    <w:rsid w:val="62B32BBD"/>
    <w:rsid w:val="62B86D17"/>
    <w:rsid w:val="62FB02D2"/>
    <w:rsid w:val="636E3262"/>
    <w:rsid w:val="63A616EE"/>
    <w:rsid w:val="63FF19AC"/>
    <w:rsid w:val="64AD2F5E"/>
    <w:rsid w:val="64B33A8D"/>
    <w:rsid w:val="64E17DAC"/>
    <w:rsid w:val="65074CC8"/>
    <w:rsid w:val="652C4E40"/>
    <w:rsid w:val="655766CD"/>
    <w:rsid w:val="65782BD6"/>
    <w:rsid w:val="659006BC"/>
    <w:rsid w:val="65F52DC2"/>
    <w:rsid w:val="66773E88"/>
    <w:rsid w:val="6687281B"/>
    <w:rsid w:val="66A73DB0"/>
    <w:rsid w:val="66B011D0"/>
    <w:rsid w:val="66BC6E35"/>
    <w:rsid w:val="66D07B67"/>
    <w:rsid w:val="67157A05"/>
    <w:rsid w:val="675B7CFF"/>
    <w:rsid w:val="676522E8"/>
    <w:rsid w:val="676F5A0B"/>
    <w:rsid w:val="6795335F"/>
    <w:rsid w:val="67EC4A85"/>
    <w:rsid w:val="68294213"/>
    <w:rsid w:val="68793F63"/>
    <w:rsid w:val="688153A0"/>
    <w:rsid w:val="68F60279"/>
    <w:rsid w:val="69FF0A80"/>
    <w:rsid w:val="6AB41369"/>
    <w:rsid w:val="6AE03074"/>
    <w:rsid w:val="6B80246D"/>
    <w:rsid w:val="6B8B625B"/>
    <w:rsid w:val="6B95581E"/>
    <w:rsid w:val="6BAC02C1"/>
    <w:rsid w:val="6BDC1403"/>
    <w:rsid w:val="6C0C0F8B"/>
    <w:rsid w:val="6C2B7460"/>
    <w:rsid w:val="6C62612E"/>
    <w:rsid w:val="6CB3185D"/>
    <w:rsid w:val="6CE448A1"/>
    <w:rsid w:val="6D1D5FE5"/>
    <w:rsid w:val="6D2C5837"/>
    <w:rsid w:val="6D305FAD"/>
    <w:rsid w:val="6D5C7C80"/>
    <w:rsid w:val="6D912518"/>
    <w:rsid w:val="6D9167C7"/>
    <w:rsid w:val="6E125AE1"/>
    <w:rsid w:val="6E3840D1"/>
    <w:rsid w:val="6E3B6C77"/>
    <w:rsid w:val="6E5421AF"/>
    <w:rsid w:val="6E5667A2"/>
    <w:rsid w:val="6F8B25D8"/>
    <w:rsid w:val="6FA93B47"/>
    <w:rsid w:val="703A43D1"/>
    <w:rsid w:val="707C6C50"/>
    <w:rsid w:val="70E878E9"/>
    <w:rsid w:val="71061D79"/>
    <w:rsid w:val="71203D53"/>
    <w:rsid w:val="71606008"/>
    <w:rsid w:val="717B7C72"/>
    <w:rsid w:val="719162F8"/>
    <w:rsid w:val="71BA7104"/>
    <w:rsid w:val="71F45626"/>
    <w:rsid w:val="72350773"/>
    <w:rsid w:val="726B0D83"/>
    <w:rsid w:val="72A67565"/>
    <w:rsid w:val="72CE24AC"/>
    <w:rsid w:val="72F44BD8"/>
    <w:rsid w:val="731B4F30"/>
    <w:rsid w:val="73344590"/>
    <w:rsid w:val="734E4871"/>
    <w:rsid w:val="73667125"/>
    <w:rsid w:val="73754EE7"/>
    <w:rsid w:val="738061FF"/>
    <w:rsid w:val="73F80770"/>
    <w:rsid w:val="7402301C"/>
    <w:rsid w:val="740742C5"/>
    <w:rsid w:val="746554E6"/>
    <w:rsid w:val="74AA5AA4"/>
    <w:rsid w:val="74CF1DC8"/>
    <w:rsid w:val="756A0CFF"/>
    <w:rsid w:val="75793DA4"/>
    <w:rsid w:val="758C0B1D"/>
    <w:rsid w:val="75A621CB"/>
    <w:rsid w:val="761F7357"/>
    <w:rsid w:val="76405F47"/>
    <w:rsid w:val="76F123A0"/>
    <w:rsid w:val="77372834"/>
    <w:rsid w:val="778F3CF8"/>
    <w:rsid w:val="77BF4814"/>
    <w:rsid w:val="77EF65E4"/>
    <w:rsid w:val="77F674E2"/>
    <w:rsid w:val="784754C9"/>
    <w:rsid w:val="7882434F"/>
    <w:rsid w:val="789371DD"/>
    <w:rsid w:val="78A33B0F"/>
    <w:rsid w:val="78B1150C"/>
    <w:rsid w:val="78B57CDC"/>
    <w:rsid w:val="790B569F"/>
    <w:rsid w:val="795A08CB"/>
    <w:rsid w:val="79CD3C62"/>
    <w:rsid w:val="79CF54C3"/>
    <w:rsid w:val="79EE3CC6"/>
    <w:rsid w:val="79FA76E1"/>
    <w:rsid w:val="7A014C0C"/>
    <w:rsid w:val="7ACC7553"/>
    <w:rsid w:val="7B0455AA"/>
    <w:rsid w:val="7B1773DD"/>
    <w:rsid w:val="7B85158D"/>
    <w:rsid w:val="7B923902"/>
    <w:rsid w:val="7B974D3C"/>
    <w:rsid w:val="7BBC12E9"/>
    <w:rsid w:val="7BCE4CF4"/>
    <w:rsid w:val="7BF43F4E"/>
    <w:rsid w:val="7C0674A8"/>
    <w:rsid w:val="7C9D6223"/>
    <w:rsid w:val="7CE562F3"/>
    <w:rsid w:val="7D10199B"/>
    <w:rsid w:val="7D41088E"/>
    <w:rsid w:val="7D781589"/>
    <w:rsid w:val="7DC037B5"/>
    <w:rsid w:val="7DD74C37"/>
    <w:rsid w:val="7DFE7585"/>
    <w:rsid w:val="7E087C15"/>
    <w:rsid w:val="7E3E7745"/>
    <w:rsid w:val="7E4642C3"/>
    <w:rsid w:val="7E741271"/>
    <w:rsid w:val="7E8B7880"/>
    <w:rsid w:val="7EFB616A"/>
    <w:rsid w:val="7F0E58CD"/>
    <w:rsid w:val="7F32332A"/>
    <w:rsid w:val="7F8B6497"/>
    <w:rsid w:val="7F9F57B2"/>
    <w:rsid w:val="7FAC31AB"/>
    <w:rsid w:val="7FB072E6"/>
    <w:rsid w:val="7FC51F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15396</Words>
  <Characters>18800</Characters>
  <Lines>168</Lines>
  <Paragraphs>47</Paragraphs>
  <TotalTime>1</TotalTime>
  <ScaleCrop>false</ScaleCrop>
  <LinksUpToDate>false</LinksUpToDate>
  <CharactersWithSpaces>19390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张心阳</cp:lastModifiedBy>
  <cp:lastPrinted>2023-08-03T09:28:00Z</cp:lastPrinted>
  <dcterms:modified xsi:type="dcterms:W3CDTF">2024-08-08T07:56:18Z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F4BED97034FC4D54B783BFF5AC342CA5_13</vt:lpwstr>
  </property>
</Properties>
</file>