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 w:hanging="358" w:left="-1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财政部统一报表</w:t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</w:p>
    <w:p>
      <w:pPr>
        <w:pStyle w:val="668"/>
        <w:pBdr/>
        <w:spacing w:line="360" w:lineRule="auto"/>
        <w:ind w:hanging="358" w:left="-1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政府投资基金运行情况</w:t>
      </w: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季报</w:t>
      </w: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系统</w:t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</w:p>
    <w:p>
      <w:pPr>
        <w:pStyle w:val="668"/>
        <w:pBdr/>
        <w:spacing w:line="360" w:lineRule="auto"/>
        <w:ind w:hanging="358" w:left="-1"/>
        <w:jc w:val="center"/>
        <w:rPr>
          <w:rFonts w:hint="eastAsia" w:ascii="宋体" w:hAnsi="宋体"/>
          <w:b/>
          <w:bCs/>
          <w:color w:val="000000"/>
          <w:sz w:val="44"/>
          <w:szCs w:val="44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用户操作手册</w:t>
      </w:r>
      <w:r>
        <w:rPr>
          <w:rFonts w:hint="eastAsia" w:ascii="宋体" w:hAnsi="宋体"/>
          <w:b/>
          <w:bCs/>
          <w:color w:val="000000"/>
          <w:sz w:val="44"/>
          <w:szCs w:val="44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bCs/>
          <w:color w:val="000000"/>
          <w:sz w:val="52"/>
        </w:rPr>
      </w:pPr>
      <w:r>
        <w:rPr>
          <w:rFonts w:hint="eastAsia" w:ascii="宋体" w:hAnsi="宋体"/>
          <w:b/>
          <w:bCs/>
          <w:color w:val="000000"/>
          <w:sz w:val="52"/>
        </w:rPr>
      </w:r>
      <w:r>
        <w:rPr>
          <w:rFonts w:hint="eastAsia" w:ascii="宋体" w:hAnsi="宋体"/>
          <w:b/>
          <w:bCs/>
          <w:color w:val="000000"/>
          <w:sz w:val="5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2"/>
        </w:rPr>
      </w:pPr>
      <w:r>
        <w:rPr>
          <w:rFonts w:hint="eastAsia" w:ascii="宋体" w:hAnsi="宋体"/>
          <w:b/>
          <w:color w:val="000000"/>
          <w:sz w:val="32"/>
        </w:rPr>
      </w:r>
      <w:r>
        <w:rPr>
          <w:rFonts w:hint="eastAsia" w:ascii="宋体" w:hAnsi="宋体"/>
          <w:b/>
          <w:color w:val="000000"/>
          <w:sz w:val="32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  <w:t xml:space="preserve">财政部资产</w:t>
      </w:r>
      <w:r>
        <w:rPr>
          <w:rFonts w:hint="eastAsia" w:ascii="宋体" w:hAnsi="宋体"/>
          <w:b/>
          <w:color w:val="000000"/>
          <w:sz w:val="30"/>
        </w:rPr>
        <w:t xml:space="preserve">管理</w:t>
      </w:r>
      <w:r>
        <w:rPr>
          <w:rFonts w:hint="eastAsia" w:ascii="宋体" w:hAnsi="宋体"/>
          <w:b/>
          <w:color w:val="000000"/>
          <w:sz w:val="30"/>
        </w:rPr>
        <w:t xml:space="preserve">司</w:t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  <w:t xml:space="preserve">财政部信息网络中心</w:t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  <w:t xml:space="preserve">二零一七年</w:t>
      </w:r>
      <w:r>
        <w:rPr>
          <w:rFonts w:hint="eastAsia" w:ascii="宋体" w:hAnsi="宋体"/>
          <w:b/>
          <w:color w:val="000000"/>
          <w:sz w:val="30"/>
        </w:rPr>
        <w:t xml:space="preserve">十</w:t>
      </w:r>
      <w:r>
        <w:rPr>
          <w:rFonts w:hint="eastAsia" w:ascii="宋体" w:hAnsi="宋体"/>
          <w:b/>
          <w:color w:val="000000"/>
          <w:sz w:val="30"/>
        </w:rPr>
        <w:t xml:space="preserve">月</w:t>
      </w: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b/>
          <w:color w:val="000000"/>
          <w:sz w:val="30"/>
        </w:rPr>
      </w:pPr>
      <w:r>
        <w:rPr>
          <w:rFonts w:hint="eastAsia" w:ascii="宋体" w:hAnsi="宋体"/>
          <w:b/>
          <w:color w:val="000000"/>
          <w:sz w:val="30"/>
        </w:rPr>
      </w:r>
      <w:r>
        <w:rPr>
          <w:rFonts w:hint="eastAsia" w:ascii="宋体" w:hAnsi="宋体"/>
          <w:b/>
          <w:color w:val="000000"/>
          <w:sz w:val="30"/>
        </w:rPr>
      </w:r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color w:val="000000"/>
          <w:sz w:val="30"/>
        </w:rPr>
      </w:pPr>
      <w:r>
        <w:rPr>
          <w:rFonts w:ascii="宋体" w:hAnsi="宋体"/>
          <w:b/>
          <w:color w:val="000000"/>
          <w:sz w:val="30"/>
        </w:rPr>
        <w:br w:type="page" w:clear="all"/>
      </w:r>
      <w:r>
        <w:rPr>
          <w:rFonts w:hint="eastAsia" w:ascii="宋体" w:hAnsi="宋体"/>
          <w:color w:val="000000"/>
          <w:sz w:val="30"/>
        </w:rPr>
      </w:r>
      <w:r>
        <w:rPr>
          <w:rFonts w:hint="eastAsia" w:ascii="宋体" w:hAnsi="宋体"/>
          <w:color w:val="000000"/>
          <w:sz w:val="30"/>
        </w:rPr>
      </w:r>
    </w:p>
    <w:p>
      <w:pPr>
        <w:pStyle w:val="714"/>
        <w:pBdr/>
        <w:spacing/>
        <w:ind/>
        <w:jc w:val="center"/>
        <w:rPr>
          <w:color w:val="000000"/>
          <w:sz w:val="144"/>
        </w:rPr>
      </w:pPr>
      <w:r>
        <w:rPr>
          <w:color w:val="000000"/>
          <w:sz w:val="48"/>
          <w:lang w:val="zh-CN"/>
        </w:rPr>
        <w:t xml:space="preserve">目录</w:t>
      </w:r>
      <w:r>
        <w:rPr>
          <w:color w:val="000000"/>
          <w:sz w:val="144"/>
        </w:rPr>
      </w:r>
      <w:r>
        <w:rPr>
          <w:color w:val="000000"/>
          <w:sz w:val="144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sz w:val="21"/>
          <w:szCs w:val="22"/>
          <w:lang w:val="en-US" w:eastAsia="zh-CN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"_Toc495645866"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1.</w:t>
      </w:r>
      <w:r>
        <w:rPr>
          <w:rFonts w:ascii="Calibri" w:hAnsi="Calibri" w:eastAsia="宋体"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系统简介</w:t>
      </w:r>
      <w:r>
        <w:tab/>
      </w:r>
      <w:r>
        <w:fldChar w:fldCharType="begin"/>
      </w:r>
      <w:r>
        <w:instrText xml:space="preserve"> PAGEREF _Toc495645866 \h </w:instrText>
      </w:r>
      <w:r>
        <w:fldChar w:fldCharType="separate"/>
      </w:r>
      <w:r>
        <w:t xml:space="preserve">2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 w:eastAsia="宋体"/>
          <w:sz w:val="21"/>
          <w:szCs w:val="22"/>
          <w:lang w:val="en-US" w:eastAsia="zh-CN"/>
        </w:rPr>
      </w:r>
      <w:r>
        <w:rPr>
          <w:rFonts w:ascii="Calibri" w:hAnsi="Calibri" w:eastAsia="宋体"/>
          <w:sz w:val="21"/>
          <w:szCs w:val="22"/>
          <w:lang w:val="en-US" w:eastAsia="zh-CN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"_Toc495645867"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1.1.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系统基本情况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_Toc495645867 \h </w:instrText>
      </w:r>
      <w:r>
        <w:rPr>
          <w:b w:val="0"/>
        </w:rPr>
        <w:fldChar w:fldCharType="separate"/>
      </w:r>
      <w:r>
        <w:rPr>
          <w:b w:val="0"/>
        </w:rPr>
        <w:t xml:space="preserve">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"_Toc495645868"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1.2.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系统环境要求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_Toc495645868 \h </w:instrText>
      </w:r>
      <w:r>
        <w:rPr>
          <w:b w:val="0"/>
        </w:rPr>
        <w:fldChar w:fldCharType="separate"/>
      </w:r>
      <w:r>
        <w:rPr>
          <w:b w:val="0"/>
        </w:rPr>
        <w:t xml:space="preserve">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"_Toc495645869"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1.3.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系统登录地址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_Toc495645869 \h </w:instrText>
      </w:r>
      <w:r>
        <w:rPr>
          <w:b w:val="0"/>
        </w:rPr>
        <w:fldChar w:fldCharType="separate"/>
      </w:r>
      <w:r>
        <w:rPr>
          <w:b w:val="0"/>
        </w:rPr>
        <w:t xml:space="preserve">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"_Toc495645871"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1.4.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密码找回功能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_Toc495645871 \h </w:instrText>
      </w:r>
      <w:r>
        <w:rPr>
          <w:b w:val="0"/>
        </w:rPr>
        <w:fldChar w:fldCharType="separate"/>
      </w:r>
      <w:r>
        <w:rPr>
          <w:b w:val="0"/>
        </w:rPr>
        <w:t xml:space="preserve">3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b/>
          <w:sz w:val="21"/>
          <w:szCs w:val="22"/>
          <w:lang w:val="en-US" w:eastAsia="zh-CN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/>
        </w:rPr>
        <w:instrText xml:space="preserve">HYPERLINK \l "_Toc495645872"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</w:t>
      </w:r>
      <w:r>
        <w:rPr>
          <w:rFonts w:ascii="Calibri" w:hAnsi="Calibri" w:eastAsia="宋体"/>
          <w:b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财政管理用户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_Toc495645872 \h </w:instrText>
      </w:r>
      <w:r>
        <w:rPr>
          <w:b/>
        </w:rPr>
        <w:fldChar w:fldCharType="separate"/>
      </w:r>
      <w:r>
        <w:rPr>
          <w:b/>
        </w:rPr>
        <w:t xml:space="preserve">5</w:t>
      </w:r>
      <w:r>
        <w:rPr>
          <w:b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"_Toc495645873"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2.1.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财政管理用户职责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_Toc495645873 \h </w:instrText>
      </w:r>
      <w:r>
        <w:rPr>
          <w:b w:val="0"/>
        </w:rPr>
        <w:fldChar w:fldCharType="separate"/>
      </w:r>
      <w:r>
        <w:rPr>
          <w:b w:val="0"/>
        </w:rPr>
        <w:t xml:space="preserve">5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"_Toc495645874"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2.2.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财政管理用户创建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_Toc495645874 \h </w:instrText>
      </w:r>
      <w:r>
        <w:rPr>
          <w:b w:val="0"/>
        </w:rPr>
        <w:fldChar w:fldCharType="separate"/>
      </w:r>
      <w:r>
        <w:rPr>
          <w:b w:val="0"/>
        </w:rPr>
        <w:t xml:space="preserve">5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"_Toc495645875"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2.2.1.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省级财政管理用户创建</w:t>
      </w:r>
      <w:r>
        <w:tab/>
      </w:r>
      <w:r>
        <w:fldChar w:fldCharType="begin"/>
      </w:r>
      <w:r>
        <w:instrText xml:space="preserve"> PAGEREF _Toc495645875 \h </w:instrText>
      </w:r>
      <w:r>
        <w:fldChar w:fldCharType="separate"/>
      </w:r>
      <w:r>
        <w:t xml:space="preserve">5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"_Toc495645876"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2.2.2.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市、县（区）级财政管理用户创建</w:t>
      </w:r>
      <w:r>
        <w:tab/>
      </w:r>
      <w:r>
        <w:fldChar w:fldCharType="begin"/>
      </w:r>
      <w:r>
        <w:instrText xml:space="preserve"> PAGEREF _Toc495645876 \h </w:instrText>
      </w:r>
      <w:r>
        <w:fldChar w:fldCharType="separate"/>
      </w:r>
      <w:r>
        <w:t xml:space="preserve">6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2.3.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财政管理用户登陆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_Toc495645877 \h </w:instrText>
      </w:r>
      <w:r>
        <w:rPr>
          <w:b w:val="0"/>
        </w:rPr>
        <w:fldChar w:fldCharType="separate"/>
      </w:r>
      <w:r>
        <w:rPr>
          <w:b w:val="0"/>
        </w:rPr>
        <w:t xml:space="preserve">6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"_Toc495645879"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2.4.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财政管理用户主要功能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_Toc495645879 \h </w:instrText>
      </w:r>
      <w:r>
        <w:rPr>
          <w:b w:val="0"/>
        </w:rPr>
        <w:fldChar w:fldCharType="separate"/>
      </w:r>
      <w:r>
        <w:rPr>
          <w:b w:val="0"/>
        </w:rPr>
        <w:t xml:space="preserve">7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"_Toc495645880"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2.4.1.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报表数据查看</w:t>
      </w:r>
      <w:r>
        <w:tab/>
      </w:r>
      <w:r>
        <w:fldChar w:fldCharType="begin"/>
      </w:r>
      <w:r>
        <w:instrText xml:space="preserve"> PAGEREF _Toc495645880 \h </w:instrText>
      </w:r>
      <w:r>
        <w:fldChar w:fldCharType="separate"/>
      </w:r>
      <w:r>
        <w:t xml:space="preserve">7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"_Toc495645881"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2.4.2.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批量公式审核</w:t>
      </w:r>
      <w:r>
        <w:tab/>
      </w:r>
      <w:r>
        <w:fldChar w:fldCharType="begin"/>
      </w:r>
      <w:r>
        <w:instrText xml:space="preserve"> PAGEREF _Toc495645881 \h </w:instrText>
      </w:r>
      <w:r>
        <w:fldChar w:fldCharType="separate"/>
      </w:r>
      <w:r>
        <w:t xml:space="preserve">8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"_Toc495645882"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2.4.3.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数据汇总</w:t>
      </w:r>
      <w:r>
        <w:tab/>
      </w:r>
      <w:r>
        <w:fldChar w:fldCharType="begin"/>
      </w:r>
      <w:r>
        <w:instrText xml:space="preserve"> PAGEREF _Toc495645882 \h </w:instrText>
      </w:r>
      <w:r>
        <w:fldChar w:fldCharType="separate"/>
      </w:r>
      <w:r>
        <w:t xml:space="preserve">9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"_Toc495645883"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2.4.4.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数据上报</w:t>
      </w:r>
      <w:r>
        <w:tab/>
      </w:r>
      <w:r>
        <w:fldChar w:fldCharType="begin"/>
      </w:r>
      <w:r>
        <w:instrText xml:space="preserve"> PAGEREF _Toc495645883 \h </w:instrText>
      </w:r>
      <w:r>
        <w:fldChar w:fldCharType="separate"/>
      </w:r>
      <w:r>
        <w:t xml:space="preserve">10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"_Toc495645884"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2.4.5.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基金填报用户注册审批</w:t>
      </w:r>
      <w:r>
        <w:tab/>
      </w:r>
      <w:r>
        <w:fldChar w:fldCharType="begin"/>
      </w:r>
      <w:r>
        <w:instrText xml:space="preserve"> PAGEREF _Toc495645884 \h </w:instrText>
      </w:r>
      <w:r>
        <w:fldChar w:fldCharType="separate"/>
      </w:r>
      <w:r>
        <w:t xml:space="preserve">10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"_Toc495645885"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2.4.6.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下级管理用户创建</w:t>
      </w:r>
      <w:r>
        <w:tab/>
      </w:r>
      <w:r>
        <w:fldChar w:fldCharType="begin"/>
      </w:r>
      <w:r>
        <w:instrText xml:space="preserve"> PAGEREF _Toc495645885 \h </w:instrText>
      </w:r>
      <w:r>
        <w:fldChar w:fldCharType="separate"/>
      </w:r>
      <w:r>
        <w:t xml:space="preserve">11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b/>
          <w:sz w:val="21"/>
          <w:szCs w:val="22"/>
          <w:lang w:val="en-US" w:eastAsia="zh-CN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/>
        </w:rPr>
        <w:instrText xml:space="preserve">HYPERLINK \l "_Toc495645886"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</w:t>
      </w:r>
      <w:r>
        <w:rPr>
          <w:rFonts w:ascii="Calibri" w:hAnsi="Calibri" w:eastAsia="宋体"/>
          <w:b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基金填报用户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_Toc495645886 \h </w:instrText>
      </w:r>
      <w:r>
        <w:rPr>
          <w:b/>
        </w:rPr>
        <w:fldChar w:fldCharType="separate"/>
      </w:r>
      <w:r>
        <w:rPr>
          <w:b/>
        </w:rPr>
        <w:t xml:space="preserve">12</w:t>
      </w:r>
      <w:r>
        <w:rPr>
          <w:b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"_Toc495645887"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3.1.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基金填报用户职责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_Toc495645887 \h </w:instrText>
      </w:r>
      <w:r>
        <w:rPr>
          <w:b w:val="0"/>
        </w:rPr>
        <w:fldChar w:fldCharType="separate"/>
      </w:r>
      <w:r>
        <w:rPr>
          <w:b w:val="0"/>
        </w:rPr>
        <w:t xml:space="preserve">12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"_Toc495645888"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3.2.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基金填报用户注册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_Toc495645888 \h </w:instrText>
      </w:r>
      <w:r>
        <w:rPr>
          <w:b w:val="0"/>
        </w:rPr>
        <w:fldChar w:fldCharType="separate"/>
      </w:r>
      <w:r>
        <w:rPr>
          <w:b w:val="0"/>
        </w:rPr>
        <w:t xml:space="preserve">12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"_Toc495645889"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3.3.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基金填报用户登陆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_Toc495645889 \h </w:instrText>
      </w:r>
      <w:r>
        <w:rPr>
          <w:b w:val="0"/>
        </w:rPr>
        <w:fldChar w:fldCharType="separate"/>
      </w:r>
      <w:r>
        <w:rPr>
          <w:b w:val="0"/>
        </w:rPr>
        <w:t xml:space="preserve">14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86"/>
        <w:pBdr/>
        <w:tabs>
          <w:tab w:val="left" w:leader="none" w:pos="1260"/>
          <w:tab w:val="right" w:leader="dot" w:pos="8630"/>
        </w:tabs>
        <w:spacing/>
        <w:ind/>
        <w:jc w:val="right"/>
        <w:rPr>
          <w:rFonts w:ascii="Calibri" w:hAnsi="Calibri"/>
          <w:b w:val="0"/>
          <w:szCs w:val="22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 w:val="0"/>
        </w:rPr>
        <w:instrText xml:space="preserve">HYPERLINK \l "_Toc495645891"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3.4.</w:t>
      </w:r>
      <w:r>
        <w:rPr>
          <w:rFonts w:ascii="Calibri" w:hAnsi="Calibri"/>
          <w:b w:val="0"/>
          <w:szCs w:val="22"/>
        </w:rPr>
        <w:tab/>
      </w:r>
      <w:r>
        <w:rPr>
          <w:rStyle w:val="684"/>
          <w:rFonts w:hint="eastAsia" w:ascii="宋体" w:hAnsi="宋体"/>
          <w:b/>
        </w:rPr>
        <w:t xml:space="preserve">基金填报用户主要功能</w:t>
      </w:r>
      <w:r>
        <w:rPr>
          <w:b w:val="0"/>
        </w:rPr>
        <w:tab/>
      </w:r>
      <w:r>
        <w:rPr>
          <w:b w:val="0"/>
        </w:rPr>
        <w:fldChar w:fldCharType="begin"/>
      </w:r>
      <w:r>
        <w:rPr>
          <w:b w:val="0"/>
        </w:rPr>
        <w:instrText xml:space="preserve"> PAGEREF _Toc495645891 \h </w:instrText>
      </w:r>
      <w:r>
        <w:rPr>
          <w:b w:val="0"/>
        </w:rPr>
        <w:fldChar w:fldCharType="separate"/>
      </w:r>
      <w:r>
        <w:rPr>
          <w:b w:val="0"/>
        </w:rPr>
        <w:t xml:space="preserve">15</w:t>
      </w:r>
      <w:r>
        <w:rPr>
          <w:b w:val="0"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/>
          <w:b w:val="0"/>
          <w:szCs w:val="22"/>
        </w:rPr>
      </w:r>
      <w:r>
        <w:rPr>
          <w:rFonts w:ascii="Calibri" w:hAnsi="Calibri"/>
          <w:b w:val="0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"_Toc495645892"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3.4.1.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数据录入</w:t>
      </w:r>
      <w:r>
        <w:tab/>
      </w:r>
      <w:r>
        <w:fldChar w:fldCharType="begin"/>
      </w:r>
      <w:r>
        <w:instrText xml:space="preserve"> PAGEREF _Toc495645892 \h </w:instrText>
      </w:r>
      <w:r>
        <w:fldChar w:fldCharType="separate"/>
      </w:r>
      <w:r>
        <w:t xml:space="preserve">15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"_Toc495645893"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3.4.2.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审核上报</w:t>
      </w:r>
      <w:r>
        <w:tab/>
      </w:r>
      <w:r>
        <w:fldChar w:fldCharType="begin"/>
      </w:r>
      <w:r>
        <w:instrText xml:space="preserve"> PAGEREF _Toc495645893 \h </w:instrText>
      </w:r>
      <w:r>
        <w:fldChar w:fldCharType="separate"/>
      </w:r>
      <w:r>
        <w:t xml:space="preserve">15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"_Toc495645894"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3.4.3.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导出功能</w:t>
      </w:r>
      <w:r>
        <w:tab/>
      </w:r>
      <w:r>
        <w:fldChar w:fldCharType="begin"/>
      </w:r>
      <w:r>
        <w:instrText xml:space="preserve"> PAGEREF _Toc495645894 \h </w:instrText>
      </w:r>
      <w:r>
        <w:fldChar w:fldCharType="separate"/>
      </w:r>
      <w:r>
        <w:t xml:space="preserve">16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90"/>
        <w:pBdr/>
        <w:tabs>
          <w:tab w:val="left" w:leader="none" w:pos="2100"/>
          <w:tab w:val="right" w:leader="dot" w:pos="8630"/>
        </w:tabs>
        <w:spacing/>
        <w:ind/>
        <w:jc w:val="right"/>
        <w:rPr>
          <w:rFonts w:ascii="Calibri" w:hAnsi="Calibri"/>
          <w:szCs w:val="22"/>
        </w:rPr>
      </w:pPr>
      <w:r>
        <w:rPr>
          <w:rStyle w:val="684"/>
        </w:rPr>
        <w:fldChar w:fldCharType="begin"/>
      </w:r>
      <w:r>
        <w:rPr>
          <w:rStyle w:val="684"/>
        </w:rPr>
        <w:instrText xml:space="preserve"> </w:instrText>
      </w:r>
      <w:r>
        <w:instrText xml:space="preserve">HYPERLINK \l "_Toc495645896"</w:instrText>
      </w:r>
      <w:r>
        <w:rPr>
          <w:rStyle w:val="684"/>
        </w:rPr>
        <w:instrText xml:space="preserve"> </w:instrText>
      </w:r>
      <w:r>
        <w:rPr>
          <w:rStyle w:val="684"/>
        </w:rPr>
        <w:fldChar w:fldCharType="separate"/>
      </w:r>
      <w:r>
        <w:rPr>
          <w:rStyle w:val="684"/>
          <w:rFonts w:ascii="宋体" w:hAnsi="宋体"/>
        </w:rPr>
        <w:t xml:space="preserve">3.4.4.</w:t>
      </w:r>
      <w:r>
        <w:rPr>
          <w:rFonts w:ascii="Calibri" w:hAnsi="Calibri"/>
          <w:szCs w:val="22"/>
        </w:rPr>
        <w:tab/>
      </w:r>
      <w:r>
        <w:rPr>
          <w:rStyle w:val="684"/>
          <w:rFonts w:hint="eastAsia" w:ascii="宋体" w:hAnsi="宋体"/>
        </w:rPr>
        <w:t xml:space="preserve">打印功能</w:t>
      </w:r>
      <w:r>
        <w:tab/>
      </w:r>
      <w:r>
        <w:fldChar w:fldCharType="begin"/>
      </w:r>
      <w:r>
        <w:instrText xml:space="preserve"> PAGEREF _Toc495645896 \h </w:instrText>
      </w:r>
      <w:r>
        <w:fldChar w:fldCharType="separate"/>
      </w:r>
      <w:r>
        <w:t xml:space="preserve">18</w:t>
      </w:r>
      <w:r>
        <w:fldChar w:fldCharType="end"/>
      </w:r>
      <w:r>
        <w:rPr>
          <w:rStyle w:val="684"/>
        </w:rPr>
        <w:fldChar w:fldCharType="end"/>
      </w:r>
      <w:r>
        <w:rPr>
          <w:rFonts w:ascii="Calibri" w:hAnsi="Calibri"/>
          <w:szCs w:val="22"/>
        </w:rPr>
      </w:r>
      <w:r>
        <w:rPr>
          <w:rFonts w:ascii="Calibri" w:hAnsi="Calibri"/>
          <w:szCs w:val="22"/>
        </w:rPr>
      </w:r>
    </w:p>
    <w:p>
      <w:pPr>
        <w:pStyle w:val="688"/>
        <w:pBdr/>
        <w:tabs>
          <w:tab w:val="left" w:leader="none" w:pos="840"/>
        </w:tabs>
        <w:spacing/>
        <w:ind/>
        <w:jc w:val="right"/>
        <w:rPr>
          <w:rFonts w:ascii="Calibri" w:hAnsi="Calibri" w:eastAsia="宋体"/>
          <w:b/>
          <w:sz w:val="21"/>
          <w:szCs w:val="22"/>
          <w:lang w:val="en-US" w:eastAsia="zh-CN"/>
        </w:rPr>
      </w:pPr>
      <w:r>
        <w:rPr>
          <w:rStyle w:val="684"/>
          <w:b/>
        </w:rPr>
        <w:fldChar w:fldCharType="begin"/>
      </w:r>
      <w:r>
        <w:rPr>
          <w:rStyle w:val="684"/>
          <w:b/>
        </w:rPr>
        <w:instrText xml:space="preserve"> </w:instrText>
      </w:r>
      <w:r>
        <w:rPr>
          <w:b/>
        </w:rPr>
        <w:instrText xml:space="preserve">HYPERLINK \l "_Toc495645897"</w:instrText>
      </w:r>
      <w:r>
        <w:rPr>
          <w:rStyle w:val="684"/>
          <w:b/>
        </w:rPr>
        <w:instrText xml:space="preserve"> </w:instrText>
      </w:r>
      <w:r>
        <w:rPr>
          <w:rStyle w:val="684"/>
          <w:b/>
        </w:rPr>
        <w:fldChar w:fldCharType="separate"/>
      </w:r>
      <w:r>
        <w:rPr>
          <w:rStyle w:val="684"/>
          <w:rFonts w:ascii="宋体" w:hAnsi="宋体"/>
          <w:b/>
        </w:rPr>
        <w:t xml:space="preserve">4.</w:t>
      </w:r>
      <w:r>
        <w:rPr>
          <w:rFonts w:ascii="Calibri" w:hAnsi="Calibri" w:eastAsia="宋体"/>
          <w:b/>
          <w:sz w:val="21"/>
          <w:szCs w:val="22"/>
          <w:lang w:val="en-US" w:eastAsia="zh-CN"/>
        </w:rPr>
        <w:tab/>
      </w:r>
      <w:r>
        <w:rPr>
          <w:rStyle w:val="684"/>
          <w:rFonts w:hint="eastAsia" w:ascii="宋体" w:hAnsi="宋体"/>
          <w:b/>
        </w:rPr>
        <w:t xml:space="preserve">技术支持服务电话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_Toc495645897 \h </w:instrText>
      </w:r>
      <w:r>
        <w:rPr>
          <w:b/>
        </w:rPr>
        <w:fldChar w:fldCharType="separate"/>
      </w:r>
      <w:r>
        <w:rPr>
          <w:b/>
        </w:rPr>
        <w:t xml:space="preserve">18</w:t>
      </w:r>
      <w:r>
        <w:rPr>
          <w:b/>
        </w:rPr>
        <w:fldChar w:fldCharType="end"/>
      </w:r>
      <w:r>
        <w:rPr>
          <w:rStyle w:val="684"/>
          <w:b/>
        </w:rPr>
        <w:fldChar w:fldCharType="end"/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  <w:r>
        <w:rPr>
          <w:rFonts w:ascii="Calibri" w:hAnsi="Calibri" w:eastAsia="宋体"/>
          <w:b/>
          <w:sz w:val="21"/>
          <w:szCs w:val="22"/>
          <w:lang w:val="en-US" w:eastAsia="zh-CN"/>
        </w:rPr>
      </w:r>
    </w:p>
    <w:p>
      <w:pPr>
        <w:pStyle w:val="668"/>
        <w:pBdr/>
        <w:spacing/>
        <w:ind/>
        <w:jc w:val="right"/>
        <w:rPr/>
      </w:pPr>
      <w:r>
        <w:rPr>
          <w:bCs/>
          <w:lang w:val="zh-CN"/>
        </w:rPr>
        <w:fldChar w:fldCharType="end"/>
      </w:r>
      <w:r/>
    </w:p>
    <w:p>
      <w:pPr>
        <w:pStyle w:val="668"/>
        <w:pBdr/>
        <w:spacing w:line="360" w:lineRule="auto"/>
        <w:ind/>
        <w:jc w:val="center"/>
        <w:rPr>
          <w:rFonts w:hint="eastAsia" w:ascii="宋体" w:hAnsi="宋体"/>
          <w:color w:val="000000"/>
          <w:sz w:val="30"/>
        </w:rPr>
      </w:pPr>
      <w:r>
        <w:rPr>
          <w:rFonts w:ascii="宋体" w:hAnsi="宋体"/>
          <w:b/>
          <w:color w:val="000000"/>
          <w:sz w:val="30"/>
        </w:rPr>
        <w:br w:type="page" w:clear="all"/>
      </w:r>
      <w:r>
        <w:rPr>
          <w:rFonts w:hint="eastAsia" w:ascii="宋体" w:hAnsi="宋体"/>
          <w:color w:val="000000"/>
          <w:sz w:val="30"/>
        </w:rPr>
      </w:r>
      <w:r>
        <w:rPr>
          <w:rFonts w:hint="eastAsia" w:ascii="宋体" w:hAnsi="宋体"/>
          <w:color w:val="000000"/>
          <w:sz w:val="30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/>
      <w:bookmarkStart w:id="0" w:name="_Toc495404802"/>
      <w:r/>
      <w:bookmarkStart w:id="1" w:name="_Toc495645866"/>
      <w:r>
        <w:rPr>
          <w:rFonts w:hint="eastAsia" w:ascii="宋体" w:hAnsi="宋体"/>
          <w:sz w:val="52"/>
          <w:szCs w:val="52"/>
        </w:rPr>
        <w:t xml:space="preserve">系统简介</w:t>
      </w:r>
      <w:bookmarkEnd w:id="0"/>
      <w:r/>
      <w:bookmarkEnd w:id="1"/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2" w:name="_Toc57573668"/>
      <w:r/>
      <w:bookmarkStart w:id="3" w:name="_Toc59894109"/>
      <w:r/>
      <w:bookmarkStart w:id="4" w:name="_Toc9922"/>
      <w:r/>
      <w:bookmarkStart w:id="5" w:name="_Toc14386"/>
      <w:r/>
      <w:bookmarkStart w:id="6" w:name="_Toc495404803"/>
      <w:r/>
      <w:bookmarkStart w:id="7" w:name="_Toc495645867"/>
      <w:r>
        <w:rPr>
          <w:rFonts w:hint="eastAsia" w:ascii="宋体" w:hAnsi="宋体" w:eastAsia="宋体"/>
          <w:sz w:val="36"/>
        </w:rPr>
        <w:t xml:space="preserve">系统</w:t>
      </w:r>
      <w:bookmarkEnd w:id="2"/>
      <w:r/>
      <w:bookmarkEnd w:id="3"/>
      <w:r/>
      <w:bookmarkEnd w:id="4"/>
      <w:r/>
      <w:bookmarkEnd w:id="5"/>
      <w:r/>
      <w:bookmarkEnd w:id="6"/>
      <w:r>
        <w:rPr>
          <w:rFonts w:hint="eastAsia" w:ascii="宋体" w:hAnsi="宋体" w:eastAsia="宋体"/>
          <w:sz w:val="36"/>
        </w:rPr>
        <w:t xml:space="preserve">基本情况</w:t>
      </w:r>
      <w:bookmarkEnd w:id="7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“</w:t>
      </w:r>
      <w:r>
        <w:rPr>
          <w:rFonts w:hint="eastAsia" w:ascii="宋体" w:hAnsi="宋体"/>
          <w:sz w:val="28"/>
          <w:szCs w:val="28"/>
        </w:rPr>
        <w:t xml:space="preserve">财政部统一报表系统</w:t>
      </w:r>
      <w:r>
        <w:rPr>
          <w:rFonts w:ascii="宋体" w:hAnsi="宋体"/>
          <w:sz w:val="28"/>
          <w:szCs w:val="28"/>
        </w:rPr>
        <w:t xml:space="preserve">”</w:t>
      </w:r>
      <w:r>
        <w:rPr>
          <w:rFonts w:hint="eastAsia" w:ascii="宋体" w:hAnsi="宋体"/>
          <w:sz w:val="28"/>
          <w:szCs w:val="28"/>
        </w:rPr>
        <w:t xml:space="preserve">是</w:t>
      </w:r>
      <w:r>
        <w:rPr>
          <w:rFonts w:hint="eastAsia" w:ascii="宋体" w:hAnsi="宋体"/>
          <w:sz w:val="28"/>
          <w:szCs w:val="28"/>
        </w:rPr>
        <w:t xml:space="preserve">由财政部开发的报表工作统一平台，其中包含了多套报表业务。“</w:t>
      </w:r>
      <w:r>
        <w:rPr>
          <w:rFonts w:hint="eastAsia" w:ascii="宋体" w:hAnsi="宋体"/>
          <w:sz w:val="28"/>
          <w:szCs w:val="28"/>
        </w:rPr>
        <w:t xml:space="preserve">政府投资基金运行情况表</w:t>
      </w:r>
      <w:r>
        <w:rPr>
          <w:rFonts w:hint="eastAsia" w:ascii="宋体" w:hAnsi="宋体"/>
          <w:sz w:val="28"/>
          <w:szCs w:val="28"/>
        </w:rPr>
        <w:t xml:space="preserve">”</w:t>
      </w:r>
      <w:r>
        <w:rPr>
          <w:rFonts w:hint="eastAsia" w:ascii="宋体" w:hAnsi="宋体"/>
          <w:sz w:val="28"/>
          <w:szCs w:val="28"/>
        </w:rPr>
        <w:t xml:space="preserve">是其中的一套报表业务，主要涵盖政府投资基金情况表的下发、</w:t>
      </w:r>
      <w:r>
        <w:rPr>
          <w:rFonts w:hint="eastAsia" w:ascii="宋体" w:hAnsi="宋体"/>
          <w:sz w:val="28"/>
          <w:szCs w:val="28"/>
        </w:rPr>
        <w:t xml:space="preserve">数据填报、数据审核、数据汇总等功能。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8" w:name="_Toc495645868"/>
      <w:r>
        <w:rPr>
          <w:rFonts w:hint="eastAsia" w:ascii="宋体" w:hAnsi="宋体" w:eastAsia="宋体"/>
          <w:sz w:val="36"/>
        </w:rPr>
        <w:t xml:space="preserve">系统环境要求</w:t>
      </w:r>
      <w:bookmarkEnd w:id="8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本系统基于B</w:t>
      </w:r>
      <w:r>
        <w:rPr>
          <w:rFonts w:hint="eastAsia" w:ascii="宋体" w:hAnsi="宋体"/>
          <w:sz w:val="28"/>
          <w:szCs w:val="28"/>
        </w:rPr>
        <w:t xml:space="preserve">/S（浏览器/服务器）模式构建，用户直接通过网页浏览器登陆和访问系统，不需要安装其他客户端软件。</w:t>
      </w:r>
      <w:r>
        <w:rPr>
          <w:rFonts w:hint="eastAsia" w:ascii="宋体" w:hAnsi="宋体"/>
          <w:sz w:val="28"/>
          <w:szCs w:val="28"/>
        </w:rPr>
        <w:t xml:space="preserve">系统支持Windows XP、7、10操作系统，支持使用IE、Chrome、Firefox</w:t>
      </w:r>
      <w:r>
        <w:rPr>
          <w:rFonts w:hint="eastAsia" w:ascii="宋体" w:hAnsi="宋体"/>
          <w:sz w:val="28"/>
          <w:szCs w:val="28"/>
        </w:rPr>
        <w:t xml:space="preserve">和360等主流浏览器。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注：IE浏览器仅支持IE</w:t>
      </w:r>
      <w:r>
        <w:rPr>
          <w:rFonts w:hint="eastAsia" w:ascii="仿宋_GB2312" w:hAnsi="宋体" w:eastAsia="仿宋_GB2312"/>
          <w:sz w:val="28"/>
          <w:szCs w:val="28"/>
        </w:rPr>
        <w:t xml:space="preserve"> 9及以上版本</w:t>
      </w:r>
      <w:r>
        <w:rPr>
          <w:rFonts w:hint="eastAsia" w:ascii="仿宋_GB2312" w:hAnsi="宋体" w:eastAsia="仿宋_GB2312"/>
          <w:sz w:val="28"/>
          <w:szCs w:val="28"/>
        </w:rPr>
        <w:t xml:space="preserve">，不能升级IE浏览器的，建议使用Firefox浏览器。</w:t>
      </w:r>
      <w:r>
        <w:rPr>
          <w:rFonts w:hint="eastAsia" w:ascii="仿宋_GB2312" w:hAnsi="宋体" w:eastAsia="仿宋_GB2312"/>
          <w:sz w:val="28"/>
          <w:szCs w:val="28"/>
        </w:rPr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9" w:name="_Toc495645869"/>
      <w:r>
        <w:rPr>
          <w:rFonts w:ascii="宋体" w:hAnsi="宋体" w:eastAsia="宋体"/>
          <w:sz w:val="36"/>
        </w:rPr>
        <w:t xml:space="preserve">系统登录地址</w:t>
      </w:r>
      <w:bookmarkEnd w:id="9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基于安全考虑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ascii="宋体" w:hAnsi="宋体"/>
          <w:sz w:val="28"/>
          <w:szCs w:val="28"/>
        </w:rPr>
        <w:t xml:space="preserve">本系统</w:t>
      </w:r>
      <w:r>
        <w:rPr>
          <w:rFonts w:ascii="宋体" w:hAnsi="宋体"/>
          <w:sz w:val="28"/>
          <w:szCs w:val="28"/>
        </w:rPr>
        <w:t xml:space="preserve">使用Https</w:t>
      </w:r>
      <w:r>
        <w:rPr>
          <w:rFonts w:hint="eastAsia" w:ascii="宋体" w:hAnsi="宋体"/>
          <w:sz w:val="28"/>
          <w:szCs w:val="28"/>
        </w:rPr>
        <w:t xml:space="preserve">方式</w:t>
      </w:r>
      <w:r>
        <w:rPr>
          <w:rFonts w:hint="eastAsia" w:ascii="宋体" w:hAnsi="宋体"/>
          <w:sz w:val="28"/>
          <w:szCs w:val="28"/>
        </w:rPr>
        <w:t xml:space="preserve">连接，且所有</w:t>
      </w:r>
      <w:r>
        <w:rPr>
          <w:rFonts w:hint="eastAsia" w:ascii="宋体" w:hAnsi="宋体"/>
          <w:sz w:val="28"/>
          <w:szCs w:val="28"/>
        </w:rPr>
        <w:t xml:space="preserve">登陆到系统的用户，都需要绑定手机号进行短信验证，验证通过才能正常使用。用户</w:t>
      </w:r>
      <w:r>
        <w:rPr>
          <w:rFonts w:hint="eastAsia" w:ascii="宋体" w:hAnsi="宋体"/>
          <w:sz w:val="28"/>
          <w:szCs w:val="28"/>
        </w:rPr>
        <w:t xml:space="preserve">登陆</w:t>
      </w:r>
      <w:r>
        <w:rPr>
          <w:rFonts w:hint="eastAsia" w:ascii="宋体" w:hAnsi="宋体"/>
          <w:sz w:val="28"/>
          <w:szCs w:val="28"/>
        </w:rPr>
        <w:t xml:space="preserve">地址：</w:t>
      </w:r>
      <w:r>
        <w:rPr>
          <w:rStyle w:val="684"/>
          <w:rFonts w:ascii="仿宋" w:hAnsi="仿宋" w:eastAsia="仿宋"/>
        </w:rPr>
        <w:fldChar w:fldCharType="begin"/>
      </w:r>
      <w:r>
        <w:rPr>
          <w:rStyle w:val="684"/>
          <w:rFonts w:ascii="仿宋" w:hAnsi="仿宋" w:eastAsia="仿宋"/>
        </w:rPr>
        <w:instrText xml:space="preserve"> HYPERLINK "</w:instrText>
      </w:r>
      <w:r>
        <w:rPr>
          <w:rStyle w:val="684"/>
          <w:rFonts w:hint="eastAsia" w:ascii="仿宋" w:hAnsi="仿宋" w:eastAsia="仿宋"/>
        </w:rPr>
        <w:instrText xml:space="preserve">https://tybb.mof.gov.cn</w:instrText>
      </w:r>
      <w:r>
        <w:rPr>
          <w:rStyle w:val="684"/>
          <w:rFonts w:ascii="仿宋" w:hAnsi="仿宋" w:eastAsia="仿宋"/>
        </w:rPr>
        <w:instrText xml:space="preserve">" </w:instrText>
      </w:r>
      <w:r>
        <w:rPr>
          <w:rStyle w:val="684"/>
          <w:rFonts w:ascii="仿宋" w:hAnsi="仿宋" w:eastAsia="仿宋"/>
        </w:rPr>
        <w:fldChar w:fldCharType="separate"/>
      </w:r>
      <w:r>
        <w:rPr>
          <w:rStyle w:val="684"/>
          <w:rFonts w:hint="eastAsia" w:ascii="仿宋" w:hAnsi="仿宋" w:eastAsia="仿宋"/>
          <w:sz w:val="28"/>
          <w:szCs w:val="28"/>
        </w:rPr>
        <w:t xml:space="preserve">https://tybb.mof.gov.cn</w:t>
      </w:r>
      <w:r>
        <w:rPr>
          <w:rStyle w:val="684"/>
          <w:rFonts w:ascii="仿宋" w:hAnsi="仿宋" w:eastAsia="仿宋"/>
        </w:rPr>
        <w:fldChar w:fldCharType="end"/>
      </w:r>
      <w:r>
        <w:rPr>
          <w:rStyle w:val="684"/>
          <w:rFonts w:hint="eastAsia" w:ascii="仿宋" w:hAnsi="仿宋" w:eastAsia="仿宋"/>
        </w:rPr>
        <w:t xml:space="preserve">。</w:t>
      </w:r>
      <w:r>
        <w:rPr>
          <w:rFonts w:hint="eastAsia" w:ascii="仿宋" w:hAnsi="仿宋" w:eastAsia="仿宋"/>
          <w:sz w:val="28"/>
          <w:szCs w:val="28"/>
        </w:rPr>
      </w:r>
      <w:r>
        <w:rPr>
          <w:rFonts w:hint="eastAsia" w:ascii="仿宋" w:hAnsi="仿宋" w:eastAsia="仿宋"/>
          <w:sz w:val="28"/>
          <w:szCs w:val="28"/>
        </w:rPr>
      </w:r>
    </w:p>
    <w:p>
      <w:pPr>
        <w:pStyle w:val="668"/>
        <w:pBdr/>
        <w:spacing w:line="360" w:lineRule="auto"/>
        <w:ind w:firstLine="560" w:left="28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注：因为系统使用https方式连接，可能会有如下提示：</w:t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68"/>
        <w:pBdr/>
        <w:spacing w:line="460" w:lineRule="atLeast"/>
        <w:ind/>
        <w:jc w:val="center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2246" cy="2742527"/>
                <wp:effectExtent l="0" t="0" r="0" b="0"/>
                <wp:docPr id="1" name="_x0000_i17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862245" cy="2742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82.85pt;height:215.95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  <w:r>
        <w:rPr>
          <w:rFonts w:hint="eastAsia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如用户</w:t>
      </w:r>
      <w:r>
        <w:rPr>
          <w:rFonts w:hint="eastAsia" w:ascii="仿宋_GB2312" w:hAnsi="宋体" w:eastAsia="仿宋_GB2312"/>
          <w:sz w:val="28"/>
          <w:szCs w:val="28"/>
        </w:rPr>
        <w:t xml:space="preserve">使用IE浏览器</w:t>
      </w:r>
      <w:r>
        <w:rPr>
          <w:rFonts w:hint="eastAsia" w:ascii="仿宋_GB2312" w:hAnsi="宋体" w:eastAsia="仿宋_GB2312"/>
          <w:sz w:val="28"/>
          <w:szCs w:val="28"/>
        </w:rPr>
        <w:t xml:space="preserve">并出现上图提示问题</w:t>
      </w:r>
      <w:r>
        <w:rPr>
          <w:rFonts w:hint="eastAsia" w:ascii="仿宋_GB2312" w:hAnsi="宋体" w:eastAsia="仿宋_GB2312"/>
          <w:sz w:val="28"/>
          <w:szCs w:val="28"/>
        </w:rPr>
        <w:t xml:space="preserve">，</w:t>
      </w:r>
      <w:r>
        <w:rPr>
          <w:rFonts w:hint="eastAsia" w:ascii="仿宋_GB2312" w:hAnsi="宋体" w:eastAsia="仿宋_GB2312"/>
          <w:sz w:val="28"/>
          <w:szCs w:val="28"/>
        </w:rPr>
        <w:t xml:space="preserve">选择“继续浏览此网站”即可。</w:t>
      </w:r>
      <w:r>
        <w:rPr>
          <w:rFonts w:hint="eastAsia" w:ascii="仿宋_GB2312" w:hAnsi="宋体" w:eastAsia="仿宋_GB2312"/>
          <w:sz w:val="28"/>
          <w:szCs w:val="28"/>
        </w:rPr>
        <w:t xml:space="preserve">如</w:t>
      </w:r>
      <w:r>
        <w:rPr>
          <w:rFonts w:hint="eastAsia" w:ascii="仿宋_GB2312" w:hAnsi="宋体" w:eastAsia="仿宋_GB2312"/>
          <w:sz w:val="28"/>
          <w:szCs w:val="28"/>
        </w:rPr>
        <w:t xml:space="preserve">用户</w:t>
      </w:r>
      <w:r>
        <w:rPr>
          <w:rFonts w:hint="eastAsia" w:ascii="仿宋_GB2312" w:hAnsi="宋体" w:eastAsia="仿宋_GB2312"/>
          <w:sz w:val="28"/>
          <w:szCs w:val="28"/>
        </w:rPr>
        <w:t xml:space="preserve">使用Firefox（火狐）浏览器，遇到拦截时点击“高级”，选择“添加例外”，将统一报表网址添加到安全例外中。如</w:t>
      </w:r>
      <w:r>
        <w:rPr>
          <w:rFonts w:hint="eastAsia" w:ascii="仿宋_GB2312" w:hAnsi="宋体" w:eastAsia="仿宋_GB2312"/>
          <w:sz w:val="28"/>
          <w:szCs w:val="28"/>
        </w:rPr>
        <w:t xml:space="preserve">用户</w:t>
      </w:r>
      <w:r>
        <w:rPr>
          <w:rFonts w:hint="eastAsia" w:ascii="仿宋_GB2312" w:hAnsi="宋体" w:eastAsia="仿宋_GB2312"/>
          <w:sz w:val="28"/>
          <w:szCs w:val="28"/>
        </w:rPr>
        <w:t xml:space="preserve">使用Chrome浏览器，遇到拦截时点击“高级”，选择“继续前往”。</w:t>
      </w:r>
      <w:r>
        <w:rPr>
          <w:rFonts w:hint="eastAsia" w:ascii="仿宋_GB2312" w:hAnsi="宋体" w:eastAsia="仿宋_GB2312"/>
          <w:sz w:val="28"/>
          <w:szCs w:val="28"/>
        </w:rPr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拥有“财政部统一报表系统”多套报表权限的高级管理用户，需要通过以下地址登陆：</w:t>
      </w:r>
      <w:r>
        <w:rPr>
          <w:rFonts w:ascii="仿宋_GB2312" w:hAnsi="宋体" w:eastAsia="仿宋_GB2312"/>
          <w:sz w:val="28"/>
          <w:szCs w:val="28"/>
        </w:rPr>
        <w:fldChar w:fldCharType="begin"/>
      </w:r>
      <w:r>
        <w:rPr>
          <w:rFonts w:ascii="仿宋_GB2312" w:hAnsi="宋体" w:eastAsia="仿宋_GB2312"/>
          <w:sz w:val="28"/>
          <w:szCs w:val="28"/>
        </w:rPr>
        <w:instrText xml:space="preserve"> HYPERLINK "https://tybb.mof.gov.cn/urs" </w:instrText>
      </w:r>
      <w:r>
        <w:rPr>
          <w:rFonts w:ascii="仿宋_GB2312" w:hAnsi="宋体" w:eastAsia="仿宋_GB2312"/>
          <w:sz w:val="28"/>
          <w:szCs w:val="28"/>
        </w:rPr>
        <w:fldChar w:fldCharType="separate"/>
      </w:r>
      <w:r>
        <w:rPr>
          <w:rFonts w:ascii="仿宋_GB2312" w:hAnsi="宋体" w:eastAsia="仿宋_GB2312"/>
        </w:rPr>
        <w:t xml:space="preserve">https://tybb.mof.gov.cn/urs</w:t>
      </w:r>
      <w:r>
        <w:rPr>
          <w:rFonts w:ascii="仿宋_GB2312" w:hAnsi="宋体" w:eastAsia="仿宋_GB2312"/>
          <w:sz w:val="28"/>
          <w:szCs w:val="28"/>
        </w:rPr>
        <w:fldChar w:fldCharType="end"/>
      </w:r>
      <w:r>
        <w:rPr>
          <w:rFonts w:hint="eastAsia" w:ascii="仿宋_GB2312" w:hAnsi="宋体" w:eastAsia="仿宋_GB2312"/>
          <w:sz w:val="28"/>
          <w:szCs w:val="28"/>
        </w:rPr>
        <w:t xml:space="preserve"> 。</w:t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10" w:name="_Toc495645870"/>
      <w:r/>
      <w:bookmarkEnd w:id="10"/>
      <w:r/>
      <w:bookmarkStart w:id="11" w:name="_Toc12860"/>
      <w:r/>
      <w:bookmarkStart w:id="12" w:name="_Toc17326"/>
      <w:r/>
      <w:bookmarkStart w:id="13" w:name="_Toc85014192"/>
      <w:r/>
      <w:bookmarkStart w:id="14" w:name="_Toc85014331"/>
      <w:r/>
      <w:bookmarkStart w:id="15" w:name="_Toc84991445"/>
      <w:r/>
      <w:bookmarkStart w:id="16" w:name="_Toc84997907"/>
      <w:r/>
      <w:bookmarkStart w:id="17" w:name="_Toc85001860"/>
      <w:r/>
      <w:bookmarkStart w:id="18" w:name="_Toc85014253"/>
      <w:r/>
      <w:bookmarkStart w:id="19" w:name="_Toc85002204"/>
      <w:r/>
      <w:bookmarkStart w:id="20" w:name="_Toc85002291"/>
      <w:r/>
      <w:bookmarkStart w:id="21" w:name="_Toc85003260"/>
      <w:r/>
      <w:bookmarkStart w:id="22" w:name="_Toc85003646"/>
      <w:r/>
      <w:bookmarkStart w:id="23" w:name="_Toc85004425"/>
      <w:r/>
      <w:bookmarkStart w:id="24" w:name="_Toc85012579"/>
      <w:r/>
      <w:bookmarkStart w:id="25" w:name="_Toc85003005"/>
      <w:r/>
      <w:bookmarkStart w:id="26" w:name="_Toc495404810"/>
      <w:r/>
      <w:bookmarkStart w:id="27" w:name="_Toc495645871"/>
      <w:r>
        <w:rPr>
          <w:rFonts w:hint="eastAsia" w:ascii="宋体" w:hAnsi="宋体" w:eastAsia="宋体"/>
          <w:sz w:val="36"/>
        </w:rPr>
        <w:t xml:space="preserve">密码找回功能</w:t>
      </w:r>
      <w:bookmarkEnd w:id="11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在登录页面点击</w:t>
      </w:r>
      <w:r>
        <w:rPr>
          <w:rFonts w:hint="eastAsia" w:ascii="宋体" w:hAnsi="宋体"/>
          <w:sz w:val="28"/>
          <w:szCs w:val="28"/>
        </w:rPr>
        <w:t xml:space="preserve">【忘记密码】，即可进入用户密码找回界面。如</w:t>
      </w:r>
      <w:r>
        <w:rPr>
          <w:rFonts w:hint="eastAsia" w:ascii="宋体" w:hAnsi="宋体"/>
          <w:sz w:val="28"/>
          <w:szCs w:val="28"/>
        </w:rPr>
        <w:t xml:space="preserve">下图</w:t>
      </w:r>
      <w:r>
        <w:rPr>
          <w:rFonts w:hint="eastAsia" w:ascii="宋体" w:hAnsi="宋体"/>
          <w:sz w:val="28"/>
          <w:szCs w:val="28"/>
        </w:rPr>
        <w:t xml:space="preserve">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 w:firstLine="420"/>
        <w:rPr>
          <w:rFonts w:ascii="宋体" w:hAnsi="宋体"/>
        </w:rPr>
      </w:pPr>
      <w:r>
        <w:rPr>
          <w:rFonts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640" cy="2788031"/>
                <wp:effectExtent l="0" t="0" r="0" b="0"/>
                <wp:docPr id="2" name="_x0000_i17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78640" cy="2788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31.39pt;height:219.53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这里需要输入用户名，然后点击下一步 </w:t>
      </w:r>
      <w:r>
        <w:rPr>
          <w:rFonts w:hint="eastAsia" w:ascii="宋体" w:hAnsi="宋体"/>
          <w:sz w:val="28"/>
          <w:szCs w:val="28"/>
        </w:rPr>
        <w:t xml:space="preserve">如</w:t>
      </w:r>
      <w:r>
        <w:rPr>
          <w:rFonts w:hint="eastAsia" w:ascii="宋体" w:hAnsi="宋体"/>
          <w:sz w:val="28"/>
          <w:szCs w:val="28"/>
        </w:rPr>
        <w:t xml:space="preserve">下图</w:t>
      </w:r>
      <w:r>
        <w:rPr>
          <w:rFonts w:hint="eastAsia" w:ascii="宋体" w:hAnsi="宋体"/>
          <w:sz w:val="28"/>
          <w:szCs w:val="28"/>
        </w:rPr>
        <w:t xml:space="preserve">所示：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rPr>
          <w:rFonts w:ascii="宋体" w:hAnsi="宋体"/>
        </w:rPr>
      </w:pPr>
      <w:r>
        <w:rPr>
          <w:rFonts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1485" cy="2991980"/>
                <wp:effectExtent l="0" t="0" r="0" b="0"/>
                <wp:docPr id="3" name="_x0000_i17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81485" cy="299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31.61pt;height:235.59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系统会给用户所在邮箱发一条重置密码邮件，进入到邮箱点击链接即可完成重置密码操作。</w:t>
      </w:r>
      <w:r>
        <w:rPr>
          <w:rFonts w:hint="eastAsia" w:ascii="宋体" w:hAnsi="宋体"/>
          <w:sz w:val="28"/>
          <w:szCs w:val="28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/>
      <w:bookmarkStart w:id="28" w:name="_Toc495645872"/>
      <w:r>
        <w:rPr>
          <w:rFonts w:hint="eastAsia" w:ascii="宋体" w:hAnsi="宋体"/>
          <w:sz w:val="52"/>
          <w:szCs w:val="52"/>
        </w:rPr>
        <w:t xml:space="preserve">财政管理用户</w:t>
      </w:r>
      <w:bookmarkEnd w:id="12"/>
      <w:r/>
      <w:bookmarkEnd w:id="13"/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29" w:name="_Toc26032"/>
      <w:r/>
      <w:bookmarkStart w:id="30" w:name="_Toc495404811"/>
      <w:r/>
      <w:bookmarkStart w:id="31" w:name="_Toc495645873"/>
      <w:r>
        <w:rPr>
          <w:rFonts w:hint="eastAsia" w:ascii="宋体" w:hAnsi="宋体" w:eastAsia="宋体"/>
          <w:sz w:val="36"/>
        </w:rPr>
        <w:t xml:space="preserve">财政管理用户职责</w:t>
      </w:r>
      <w:bookmarkEnd w:id="14"/>
      <w:r/>
      <w:bookmarkEnd w:id="15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财政管理用户</w:t>
      </w:r>
      <w:r>
        <w:rPr>
          <w:rFonts w:hint="eastAsia" w:ascii="宋体" w:hAnsi="宋体"/>
          <w:sz w:val="28"/>
          <w:szCs w:val="28"/>
        </w:rPr>
        <w:t xml:space="preserve">是指</w:t>
      </w:r>
      <w:r>
        <w:rPr>
          <w:rFonts w:hint="eastAsia" w:ascii="宋体" w:hAnsi="宋体"/>
          <w:sz w:val="28"/>
          <w:szCs w:val="28"/>
        </w:rPr>
        <w:t xml:space="preserve">中央及地方</w:t>
      </w:r>
      <w:r>
        <w:rPr>
          <w:rFonts w:hint="eastAsia" w:ascii="宋体" w:hAnsi="宋体"/>
          <w:sz w:val="28"/>
          <w:szCs w:val="28"/>
        </w:rPr>
        <w:t xml:space="preserve">各级财政部门中，具体负责“政府投资基金运行情况表”相关工作的用户。</w:t>
      </w:r>
      <w:r>
        <w:rPr>
          <w:rFonts w:hint="eastAsia" w:ascii="宋体" w:hAnsi="宋体"/>
          <w:sz w:val="28"/>
          <w:szCs w:val="28"/>
        </w:rPr>
        <w:t xml:space="preserve">地方财政管理用户</w:t>
      </w:r>
      <w:r>
        <w:rPr>
          <w:rFonts w:hint="eastAsia" w:ascii="宋体" w:hAnsi="宋体"/>
          <w:sz w:val="28"/>
          <w:szCs w:val="28"/>
        </w:rPr>
        <w:t xml:space="preserve">按</w:t>
      </w:r>
      <w:r>
        <w:rPr>
          <w:rFonts w:hint="eastAsia" w:ascii="宋体" w:hAnsi="宋体"/>
          <w:sz w:val="28"/>
          <w:szCs w:val="28"/>
        </w:rPr>
        <w:t xml:space="preserve">行政区划</w:t>
      </w:r>
      <w:r>
        <w:rPr>
          <w:rFonts w:hint="eastAsia" w:ascii="宋体" w:hAnsi="宋体"/>
          <w:sz w:val="28"/>
          <w:szCs w:val="28"/>
        </w:rPr>
        <w:t xml:space="preserve">级次可以分为省、市、县</w:t>
      </w:r>
      <w:r>
        <w:rPr>
          <w:rFonts w:hint="eastAsia" w:ascii="宋体" w:hAnsi="宋体"/>
          <w:sz w:val="28"/>
          <w:szCs w:val="28"/>
        </w:rPr>
        <w:t xml:space="preserve">（区）</w:t>
      </w:r>
      <w:r>
        <w:rPr>
          <w:rFonts w:hint="eastAsia" w:ascii="宋体" w:hAnsi="宋体"/>
          <w:sz w:val="28"/>
          <w:szCs w:val="28"/>
        </w:rPr>
        <w:t xml:space="preserve">三级，</w:t>
      </w:r>
      <w:r>
        <w:rPr>
          <w:rFonts w:hint="eastAsia" w:ascii="宋体" w:hAnsi="宋体"/>
          <w:sz w:val="28"/>
          <w:szCs w:val="28"/>
        </w:rPr>
        <w:t xml:space="preserve">地方</w:t>
      </w:r>
      <w:r>
        <w:rPr>
          <w:rFonts w:hint="eastAsia" w:ascii="宋体" w:hAnsi="宋体"/>
          <w:sz w:val="28"/>
          <w:szCs w:val="28"/>
        </w:rPr>
        <w:t xml:space="preserve">财政管理</w:t>
      </w:r>
      <w:r>
        <w:rPr>
          <w:rFonts w:hint="eastAsia" w:ascii="宋体" w:hAnsi="宋体"/>
          <w:sz w:val="28"/>
          <w:szCs w:val="28"/>
        </w:rPr>
        <w:t xml:space="preserve">用户主要</w:t>
      </w:r>
      <w:r>
        <w:rPr>
          <w:rFonts w:hint="eastAsia" w:ascii="宋体" w:hAnsi="宋体"/>
          <w:sz w:val="28"/>
          <w:szCs w:val="28"/>
        </w:rPr>
        <w:t xml:space="preserve">职责分为两部分</w:t>
      </w:r>
      <w:r>
        <w:rPr>
          <w:rFonts w:hint="eastAsia" w:ascii="宋体" w:hAnsi="宋体"/>
          <w:sz w:val="28"/>
          <w:szCs w:val="28"/>
        </w:rPr>
        <w:t xml:space="preserve">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2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基金</w:t>
      </w:r>
      <w:r>
        <w:rPr>
          <w:rFonts w:hint="eastAsia" w:ascii="宋体" w:hAnsi="宋体"/>
          <w:b/>
          <w:sz w:val="28"/>
          <w:szCs w:val="28"/>
        </w:rPr>
        <w:t xml:space="preserve">业务管理：</w:t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1、审核本级</w:t>
      </w:r>
      <w:r>
        <w:rPr>
          <w:rFonts w:hint="eastAsia" w:ascii="宋体" w:hAnsi="宋体"/>
          <w:sz w:val="28"/>
          <w:szCs w:val="28"/>
        </w:rPr>
        <w:t xml:space="preserve">基金报送的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2、审核下级财政</w:t>
      </w:r>
      <w:r>
        <w:rPr>
          <w:rFonts w:hint="eastAsia" w:ascii="宋体" w:hAnsi="宋体"/>
          <w:sz w:val="28"/>
          <w:szCs w:val="28"/>
        </w:rPr>
        <w:t xml:space="preserve">部门</w:t>
      </w:r>
      <w:r>
        <w:rPr>
          <w:rFonts w:hint="eastAsia" w:ascii="宋体" w:hAnsi="宋体"/>
          <w:sz w:val="28"/>
          <w:szCs w:val="28"/>
        </w:rPr>
        <w:t xml:space="preserve">汇总后</w:t>
      </w:r>
      <w:r>
        <w:rPr>
          <w:rFonts w:hint="eastAsia" w:ascii="宋体" w:hAnsi="宋体"/>
          <w:sz w:val="28"/>
          <w:szCs w:val="28"/>
        </w:rPr>
        <w:t xml:space="preserve">报送的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3、汇总本级、下级的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10"/>
        <w:rPr/>
      </w:pPr>
      <w:r>
        <w:rPr>
          <w:rFonts w:hint="eastAsia" w:ascii="宋体" w:hAnsi="宋体"/>
          <w:sz w:val="28"/>
          <w:szCs w:val="28"/>
        </w:rPr>
        <w:t xml:space="preserve">4、向上级财政部门报送</w:t>
      </w:r>
      <w:r>
        <w:rPr>
          <w:rFonts w:hint="eastAsia" w:ascii="宋体" w:hAnsi="宋体"/>
          <w:sz w:val="28"/>
          <w:szCs w:val="28"/>
        </w:rPr>
        <w:t xml:space="preserve">数据</w:t>
      </w:r>
      <w:r>
        <w:rPr>
          <w:rFonts w:hint="eastAsia" w:ascii="宋体" w:hAnsi="宋体"/>
          <w:sz w:val="28"/>
          <w:szCs w:val="28"/>
        </w:rPr>
        <w:t xml:space="preserve">。</w:t>
      </w:r>
      <w:r/>
    </w:p>
    <w:p>
      <w:pPr>
        <w:pStyle w:val="668"/>
        <w:pBdr/>
        <w:spacing w:line="360" w:lineRule="auto"/>
        <w:ind w:firstLine="562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报表系统管理：</w:t>
      </w:r>
      <w:r>
        <w:rPr>
          <w:rFonts w:hint="eastAsia" w:ascii="宋体" w:hAnsi="宋体"/>
          <w:b/>
          <w:sz w:val="28"/>
          <w:szCs w:val="28"/>
        </w:rPr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 w:firstLine="560" w:left="28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1、</w:t>
      </w:r>
      <w:r>
        <w:rPr>
          <w:rFonts w:hint="eastAsia" w:ascii="宋体" w:hAnsi="宋体"/>
          <w:sz w:val="28"/>
          <w:szCs w:val="28"/>
        </w:rPr>
        <w:t xml:space="preserve">审批本级基金填报用户的</w:t>
      </w:r>
      <w:r>
        <w:rPr>
          <w:rFonts w:hint="eastAsia" w:ascii="宋体" w:hAnsi="宋体"/>
          <w:sz w:val="28"/>
          <w:szCs w:val="28"/>
        </w:rPr>
        <w:t xml:space="preserve">注册申请；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 w:left="28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2、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下级财政管理用户账户。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注：</w:t>
      </w:r>
      <w:r>
        <w:rPr>
          <w:rFonts w:hint="eastAsia" w:ascii="仿宋_GB2312" w:hAnsi="宋体" w:eastAsia="仿宋_GB2312"/>
          <w:sz w:val="28"/>
          <w:szCs w:val="28"/>
        </w:rPr>
        <w:t xml:space="preserve">财政管理用户只能由</w:t>
      </w:r>
      <w:r>
        <w:rPr>
          <w:rFonts w:hint="eastAsia" w:ascii="仿宋_GB2312" w:hAnsi="宋体" w:eastAsia="仿宋_GB2312"/>
          <w:b/>
          <w:sz w:val="28"/>
          <w:szCs w:val="28"/>
        </w:rPr>
        <w:t xml:space="preserve">上级财政部门</w:t>
      </w:r>
      <w:r>
        <w:rPr>
          <w:rFonts w:hint="eastAsia" w:ascii="仿宋_GB2312" w:hAnsi="宋体" w:eastAsia="仿宋_GB2312"/>
          <w:sz w:val="28"/>
          <w:szCs w:val="28"/>
        </w:rPr>
        <w:t xml:space="preserve">创建</w:t>
      </w:r>
      <w:r>
        <w:rPr>
          <w:rFonts w:hint="eastAsia" w:ascii="仿宋_GB2312" w:hAnsi="宋体" w:eastAsia="仿宋_GB2312"/>
          <w:sz w:val="28"/>
          <w:szCs w:val="28"/>
        </w:rPr>
        <w:t xml:space="preserve">，不能自行注册。</w:t>
      </w:r>
      <w:r>
        <w:rPr>
          <w:rFonts w:hint="eastAsia" w:ascii="仿宋_GB2312" w:hAnsi="宋体" w:eastAsia="仿宋_GB2312"/>
          <w:sz w:val="28"/>
          <w:szCs w:val="28"/>
        </w:rPr>
      </w:r>
      <w:r>
        <w:rPr>
          <w:rFonts w:hint="eastAsia" w:ascii="仿宋_GB2312" w:hAnsi="宋体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End w:id="16"/>
      <w:r/>
      <w:bookmarkStart w:id="32" w:name="_Toc495645874"/>
      <w:r>
        <w:rPr>
          <w:rFonts w:hint="eastAsia" w:ascii="宋体" w:hAnsi="宋体" w:eastAsia="宋体"/>
          <w:sz w:val="36"/>
        </w:rPr>
        <w:t xml:space="preserve">财政管理用户</w:t>
      </w:r>
      <w:r>
        <w:rPr>
          <w:rFonts w:hint="eastAsia" w:ascii="宋体" w:hAnsi="宋体" w:eastAsia="宋体"/>
          <w:sz w:val="36"/>
        </w:rPr>
        <w:t xml:space="preserve">创建</w:t>
      </w:r>
      <w:bookmarkEnd w:id="17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33" w:name="_Toc495645875"/>
      <w:r>
        <w:rPr>
          <w:rFonts w:hint="eastAsia" w:ascii="宋体" w:hAnsi="宋体"/>
        </w:rPr>
        <w:t xml:space="preserve">省级财政管理用户</w:t>
      </w:r>
      <w:r>
        <w:rPr>
          <w:rFonts w:hint="eastAsia" w:ascii="宋体" w:hAnsi="宋体"/>
        </w:rPr>
        <w:t xml:space="preserve">创建</w:t>
      </w:r>
      <w:bookmarkEnd w:id="18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省级财政管理用户，特指36个省、直辖市、自治区和计划单列市的财政管理用户，这些用户由</w:t>
      </w:r>
      <w:r>
        <w:rPr>
          <w:rFonts w:hint="eastAsia" w:ascii="宋体" w:hAnsi="宋体"/>
          <w:sz w:val="28"/>
          <w:szCs w:val="28"/>
        </w:rPr>
        <w:t xml:space="preserve">财政部</w:t>
      </w:r>
      <w:r>
        <w:rPr>
          <w:rFonts w:hint="eastAsia" w:ascii="宋体" w:hAnsi="宋体"/>
          <w:sz w:val="28"/>
          <w:szCs w:val="28"/>
        </w:rPr>
        <w:t xml:space="preserve">予以</w:t>
      </w:r>
      <w:r>
        <w:rPr>
          <w:rFonts w:hint="eastAsia" w:ascii="宋体" w:hAnsi="宋体"/>
          <w:sz w:val="28"/>
          <w:szCs w:val="28"/>
        </w:rPr>
        <w:t xml:space="preserve">新建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为了建立省级财政管理用户，需要36个地方财政</w:t>
      </w:r>
      <w:r>
        <w:rPr>
          <w:rFonts w:hint="eastAsia" w:ascii="宋体" w:hAnsi="宋体"/>
          <w:sz w:val="28"/>
          <w:szCs w:val="28"/>
        </w:rPr>
        <w:t xml:space="preserve">报送管理员相关信息，具体内容如下：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tbl>
      <w:tblPr>
        <w:tblW w:w="5000" w:type="pct"/>
        <w:tblInd w:w="0" w:type="dxa"/>
        <w:tblBorders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>
        <w:trPr>
          <w:trHeight w:val="4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单位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处室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姓名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手机号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 w:val="false"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座机号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电子邮箱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</w:tr>
      <w:tr>
        <w:trPr>
          <w:trHeight w:val="43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6" w:type="dxa"/>
            <w:vAlign w:val="center"/>
            <w:textDirection w:val="lrTb"/>
            <w:noWrap/>
          </w:tcPr>
          <w:p>
            <w:pPr>
              <w:pStyle w:val="668"/>
              <w:widowControl w:val="true"/>
              <w:pBdr/>
              <w:spacing/>
              <w:ind/>
              <w:jc w:val="lef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</w:r>
          </w:p>
        </w:tc>
      </w:tr>
    </w:tbl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将以上信息通过电子邮件</w:t>
      </w:r>
      <w:r>
        <w:rPr>
          <w:rFonts w:hint="eastAsia" w:ascii="宋体" w:hAnsi="宋体"/>
          <w:sz w:val="28"/>
          <w:szCs w:val="28"/>
        </w:rPr>
        <w:t xml:space="preserve">发送至：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HYPERLINK "mailto:qiuzhongchang@jiuqi.com.cn"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 xml:space="preserve">qiuzhongchang@jiuqi.com.cn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 xml:space="preserve">,将由系统管理员对用户进行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完成后会将相关登陆信息通过邮件回复。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注：上表中各项信息均为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必填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34" w:name="_Toc495645876"/>
      <w:r>
        <w:rPr>
          <w:rFonts w:hint="eastAsia" w:ascii="宋体" w:hAnsi="宋体"/>
        </w:rPr>
        <w:t xml:space="preserve">市、县</w:t>
      </w:r>
      <w:r>
        <w:rPr>
          <w:rFonts w:hint="eastAsia" w:ascii="宋体" w:hAnsi="宋体"/>
        </w:rPr>
        <w:t xml:space="preserve">（区）</w:t>
      </w:r>
      <w:r>
        <w:rPr>
          <w:rFonts w:hint="eastAsia" w:ascii="宋体" w:hAnsi="宋体"/>
        </w:rPr>
        <w:t xml:space="preserve">级财政管理用户</w:t>
      </w:r>
      <w:r>
        <w:rPr>
          <w:rFonts w:hint="eastAsia" w:ascii="宋体" w:hAnsi="宋体"/>
        </w:rPr>
        <w:t xml:space="preserve">创建</w:t>
      </w:r>
      <w:bookmarkEnd w:id="19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市、县</w:t>
      </w:r>
      <w:r>
        <w:rPr>
          <w:rFonts w:hint="eastAsia" w:ascii="宋体" w:hAnsi="宋体"/>
          <w:sz w:val="28"/>
          <w:szCs w:val="28"/>
        </w:rPr>
        <w:t xml:space="preserve">（区）</w:t>
      </w:r>
      <w:r>
        <w:rPr>
          <w:rFonts w:hint="eastAsia" w:ascii="宋体" w:hAnsi="宋体"/>
          <w:sz w:val="28"/>
          <w:szCs w:val="28"/>
        </w:rPr>
        <w:t xml:space="preserve">级财政管理用户，指从行政区划级次上，</w:t>
      </w:r>
      <w:r>
        <w:rPr>
          <w:rFonts w:hint="eastAsia" w:ascii="宋体" w:hAnsi="宋体"/>
          <w:sz w:val="28"/>
          <w:szCs w:val="28"/>
        </w:rPr>
        <w:t xml:space="preserve">隶属于36个省、直辖市、自治区和计划单列市的</w:t>
      </w:r>
      <w:r>
        <w:rPr>
          <w:rFonts w:hint="eastAsia" w:ascii="宋体" w:hAnsi="宋体"/>
          <w:sz w:val="28"/>
          <w:szCs w:val="28"/>
        </w:rPr>
        <w:t xml:space="preserve">“市、县</w:t>
      </w:r>
      <w:r>
        <w:rPr>
          <w:rFonts w:hint="eastAsia" w:ascii="宋体" w:hAnsi="宋体"/>
          <w:sz w:val="28"/>
          <w:szCs w:val="28"/>
        </w:rPr>
        <w:t xml:space="preserve">（区）</w:t>
      </w:r>
      <w:r>
        <w:rPr>
          <w:rFonts w:hint="eastAsia" w:ascii="宋体" w:hAnsi="宋体"/>
          <w:sz w:val="28"/>
          <w:szCs w:val="28"/>
        </w:rPr>
        <w:t xml:space="preserve">”两级的财政管理用户。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系统中用户采取分级管理的模式，</w:t>
      </w:r>
      <w:r>
        <w:rPr>
          <w:rFonts w:hint="eastAsia" w:ascii="宋体" w:hAnsi="宋体"/>
          <w:sz w:val="28"/>
          <w:szCs w:val="28"/>
        </w:rPr>
        <w:t xml:space="preserve">市级财政管理用户由省级财政管理用户创建，县（区）财政管理用户由市级财政管理用户创建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具体创建方式</w:t>
      </w:r>
      <w:r>
        <w:rPr>
          <w:rFonts w:hint="eastAsia" w:ascii="宋体" w:hAnsi="宋体"/>
          <w:sz w:val="28"/>
          <w:szCs w:val="28"/>
        </w:rPr>
        <w:t xml:space="preserve">参见“2.4.6下级管理用户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”章节相关内容。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35" w:name="_Toc495645877"/>
      <w:r>
        <w:rPr>
          <w:rFonts w:hint="eastAsia" w:ascii="宋体" w:hAnsi="宋体" w:eastAsia="宋体"/>
          <w:sz w:val="36"/>
        </w:rPr>
        <w:t xml:space="preserve">财政管理用户</w:t>
      </w:r>
      <w:r>
        <w:rPr>
          <w:rFonts w:hint="eastAsia" w:ascii="宋体" w:hAnsi="宋体" w:eastAsia="宋体"/>
          <w:sz w:val="36"/>
        </w:rPr>
        <w:t xml:space="preserve">登陆</w:t>
      </w:r>
      <w:bookmarkEnd w:id="20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在登录界面输入用户名、密码，经过手机短信验证后，即可登陆进入系统，</w:t>
      </w:r>
      <w:r>
        <w:rPr>
          <w:rFonts w:hint="eastAsia" w:ascii="宋体" w:hAnsi="宋体"/>
          <w:sz w:val="28"/>
          <w:szCs w:val="28"/>
        </w:rPr>
        <w:t xml:space="preserve">财政</w:t>
      </w:r>
      <w:r>
        <w:rPr>
          <w:rFonts w:hint="eastAsia" w:ascii="宋体" w:hAnsi="宋体"/>
          <w:sz w:val="28"/>
          <w:szCs w:val="28"/>
        </w:rPr>
        <w:t xml:space="preserve">管理用户的系统界面如下：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069" cy="2586279"/>
                <wp:effectExtent l="0" t="0" r="0" b="0"/>
                <wp:docPr id="4" name="_x0000_i17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78069" cy="2586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31.34pt;height:203.64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注：用户名不区分大小写，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密码区分大小写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  <w:t xml:space="preserve">连续5次密码错误后，用户锁定15分钟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End w:id="21"/>
      <w:r/>
      <w:bookmarkStart w:id="36" w:name="_Toc495645878"/>
      <w:r/>
      <w:bookmarkStart w:id="37" w:name="_Toc495645879"/>
      <w:r>
        <w:rPr>
          <w:rFonts w:hint="eastAsia" w:ascii="宋体" w:hAnsi="宋体" w:eastAsia="宋体"/>
          <w:sz w:val="36"/>
        </w:rPr>
        <w:t xml:space="preserve">财政管理用户主要功能</w:t>
      </w:r>
      <w:bookmarkEnd w:id="22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38" w:name="_Toc2449"/>
      <w:r/>
      <w:bookmarkStart w:id="39" w:name="_Toc495404814"/>
      <w:r/>
      <w:bookmarkStart w:id="40" w:name="_Toc495645880"/>
      <w:r>
        <w:rPr>
          <w:rFonts w:hint="eastAsia" w:ascii="宋体" w:hAnsi="宋体"/>
        </w:rPr>
        <w:t xml:space="preserve">报表</w:t>
      </w:r>
      <w:r>
        <w:rPr>
          <w:rFonts w:hint="eastAsia" w:ascii="宋体" w:hAnsi="宋体"/>
        </w:rPr>
        <w:t xml:space="preserve">数据</w:t>
      </w:r>
      <w:bookmarkEnd w:id="23"/>
      <w:r/>
      <w:bookmarkEnd w:id="24"/>
      <w:r>
        <w:rPr>
          <w:rFonts w:hint="eastAsia" w:ascii="宋体" w:hAnsi="宋体"/>
        </w:rPr>
        <w:t xml:space="preserve">查看</w:t>
      </w:r>
      <w:bookmarkEnd w:id="25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登录系统后，点击“数据管理-数据录入”，或者点击首页“常用功能”中的“数据录入”，即可进入到具体报表的</w:t>
      </w:r>
      <w:r>
        <w:rPr>
          <w:rFonts w:hint="eastAsia" w:ascii="宋体" w:hAnsi="宋体"/>
          <w:sz w:val="28"/>
          <w:szCs w:val="28"/>
        </w:rPr>
        <w:t xml:space="preserve">查看</w:t>
      </w:r>
      <w:r>
        <w:rPr>
          <w:rFonts w:hint="eastAsia" w:ascii="宋体" w:hAnsi="宋体"/>
          <w:sz w:val="28"/>
          <w:szCs w:val="28"/>
        </w:rPr>
        <w:t xml:space="preserve">界面</w:t>
      </w:r>
      <w:r>
        <w:rPr>
          <w:rFonts w:hint="eastAsia" w:ascii="宋体" w:hAnsi="宋体"/>
          <w:sz w:val="28"/>
          <w:szCs w:val="28"/>
        </w:rPr>
        <w:t xml:space="preserve">，如下图：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  <w:color w:val="00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25" cy="3379038"/>
                <wp:effectExtent l="0" t="0" r="0" b="0"/>
                <wp:docPr id="5" name="_x0000_i17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486425" cy="337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32.00pt;height:266.07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  <w:color w:val="000000"/>
          <w:sz w:val="28"/>
          <w:szCs w:val="28"/>
        </w:rPr>
      </w:r>
      <w:r>
        <w:rPr>
          <w:rFonts w:hint="eastAsia" w:ascii="宋体" w:hAnsi="宋体"/>
          <w:color w:val="000000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左侧为单位列表栏，可以选择要查看的报送单位，右侧为具体报表数据的展示区。</w:t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1" w:name="_Toc495645881"/>
      <w:r>
        <w:rPr>
          <w:rFonts w:hint="eastAsia" w:ascii="宋体" w:hAnsi="宋体"/>
        </w:rPr>
        <w:t xml:space="preserve">批量公式审核</w:t>
      </w:r>
      <w:bookmarkEnd w:id="26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系统提供批量公式审核功能，</w:t>
      </w:r>
      <w:r>
        <w:rPr>
          <w:rFonts w:hint="eastAsia" w:ascii="宋体" w:hAnsi="宋体"/>
          <w:sz w:val="28"/>
          <w:szCs w:val="28"/>
        </w:rPr>
        <w:t xml:space="preserve">点击“</w:t>
      </w:r>
      <w:r>
        <w:rPr>
          <w:rFonts w:hint="eastAsia" w:ascii="宋体" w:hAnsi="宋体"/>
          <w:sz w:val="28"/>
          <w:szCs w:val="28"/>
        </w:rPr>
        <w:t xml:space="preserve">数据审核</w:t>
      </w:r>
      <w:r>
        <w:rPr>
          <w:rFonts w:hint="eastAsia" w:ascii="宋体" w:hAnsi="宋体"/>
          <w:sz w:val="28"/>
          <w:szCs w:val="28"/>
        </w:rPr>
        <w:t xml:space="preserve">”，或者点击首页“常用功能”中的“</w:t>
      </w:r>
      <w:r>
        <w:rPr>
          <w:rFonts w:hint="eastAsia" w:ascii="宋体" w:hAnsi="宋体"/>
          <w:sz w:val="28"/>
          <w:szCs w:val="28"/>
        </w:rPr>
        <w:t xml:space="preserve">数据审核</w:t>
      </w:r>
      <w:r>
        <w:rPr>
          <w:rFonts w:hint="eastAsia" w:ascii="宋体" w:hAnsi="宋体"/>
          <w:sz w:val="28"/>
          <w:szCs w:val="28"/>
        </w:rPr>
        <w:t xml:space="preserve">”，即可进入到</w:t>
      </w:r>
      <w:r>
        <w:rPr>
          <w:rFonts w:hint="eastAsia" w:ascii="宋体" w:hAnsi="宋体"/>
          <w:sz w:val="28"/>
          <w:szCs w:val="28"/>
        </w:rPr>
        <w:t xml:space="preserve">批量公式审核界面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此功能主要用来对报表内的勾稽关系进行审核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界面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069" cy="2597709"/>
                <wp:effectExtent l="0" t="0" r="0" b="0"/>
                <wp:docPr id="6" name="_x0000_i17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478069" cy="2597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31.34pt;height:204.54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单位选择：选择进行运算的单位；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报表选择：选择进行运算的报表；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公式配置：选择需要</w:t>
      </w:r>
      <w:r>
        <w:rPr>
          <w:rFonts w:hint="eastAsia" w:ascii="宋体" w:hAnsi="宋体"/>
          <w:sz w:val="28"/>
          <w:szCs w:val="28"/>
        </w:rPr>
        <w:t xml:space="preserve">审核</w:t>
      </w:r>
      <w:r>
        <w:rPr>
          <w:rFonts w:hint="eastAsia" w:ascii="宋体" w:hAnsi="宋体"/>
          <w:sz w:val="28"/>
          <w:szCs w:val="28"/>
        </w:rPr>
        <w:t xml:space="preserve">的公式类型和条件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2" w:name="_Toc1232"/>
      <w:r/>
      <w:bookmarkStart w:id="43" w:name="_Toc495404815"/>
      <w:r/>
      <w:bookmarkStart w:id="44" w:name="_Toc495645882"/>
      <w:r>
        <w:rPr>
          <w:rFonts w:hint="eastAsia" w:ascii="宋体" w:hAnsi="宋体"/>
        </w:rPr>
        <w:t xml:space="preserve">数据汇总</w:t>
      </w:r>
      <w:bookmarkEnd w:id="27"/>
      <w:r/>
      <w:bookmarkEnd w:id="28"/>
      <w:r/>
      <w:bookmarkEnd w:id="29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数据汇总是将下级单位数据汇总到</w:t>
      </w:r>
      <w:r>
        <w:rPr>
          <w:rFonts w:hint="eastAsia" w:ascii="宋体" w:hAnsi="宋体"/>
          <w:sz w:val="28"/>
          <w:szCs w:val="28"/>
        </w:rPr>
        <w:t xml:space="preserve">本级次节点</w:t>
      </w:r>
      <w:r>
        <w:rPr>
          <w:rFonts w:hint="eastAsia" w:ascii="宋体" w:hAnsi="宋体"/>
          <w:sz w:val="28"/>
          <w:szCs w:val="28"/>
        </w:rPr>
        <w:t xml:space="preserve">的功能</w:t>
      </w:r>
      <w:r>
        <w:rPr>
          <w:rFonts w:hint="eastAsia" w:ascii="宋体" w:hAnsi="宋体"/>
          <w:sz w:val="28"/>
          <w:szCs w:val="28"/>
        </w:rPr>
        <w:t xml:space="preserve">，点击“数据汇总”，或者点击首页“常用功能”中的“数据汇总”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界面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/>
        <w:rPr>
          <w:rFonts w:ascii="宋体" w:hAnsi="宋体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4025" cy="2561755"/>
                <wp:effectExtent l="0" t="0" r="0" b="0"/>
                <wp:docPr id="7" name="_x0000_i17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84025" cy="256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31.81pt;height:201.71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/>
      <w:bookmarkStart w:id="45" w:name="_Toc9931"/>
      <w:r/>
      <w:bookmarkStart w:id="46" w:name="_Toc495404816"/>
      <w:r>
        <w:rPr>
          <w:rFonts w:hint="eastAsia" w:ascii="宋体" w:hAnsi="宋体"/>
          <w:sz w:val="28"/>
          <w:szCs w:val="28"/>
        </w:rPr>
        <w:t xml:space="preserve">单位选择一般选“层层汇总”，对整个下级进行逐级汇总，形成本级次的</w:t>
      </w:r>
      <w:r>
        <w:rPr>
          <w:rFonts w:hint="eastAsia" w:ascii="宋体" w:hAnsi="宋体"/>
          <w:sz w:val="28"/>
          <w:szCs w:val="28"/>
        </w:rPr>
        <w:t xml:space="preserve">汇总数据。</w:t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7" w:name="_Toc495645883"/>
      <w:r>
        <w:rPr>
          <w:rFonts w:hint="eastAsia" w:ascii="宋体" w:hAnsi="宋体"/>
        </w:rPr>
        <w:t xml:space="preserve">数据</w:t>
      </w:r>
      <w:bookmarkEnd w:id="30"/>
      <w:r/>
      <w:bookmarkEnd w:id="31"/>
      <w:r>
        <w:rPr>
          <w:rFonts w:hint="eastAsia" w:ascii="宋体" w:hAnsi="宋体"/>
        </w:rPr>
        <w:t xml:space="preserve">上报</w:t>
      </w:r>
      <w:bookmarkEnd w:id="32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当下级</w:t>
      </w:r>
      <w:r>
        <w:rPr>
          <w:rFonts w:hint="eastAsia" w:ascii="宋体" w:hAnsi="宋体"/>
          <w:sz w:val="28"/>
          <w:szCs w:val="28"/>
        </w:rPr>
        <w:t xml:space="preserve">单位</w:t>
      </w:r>
      <w:r>
        <w:rPr>
          <w:rFonts w:hint="eastAsia" w:ascii="宋体" w:hAnsi="宋体"/>
          <w:sz w:val="28"/>
          <w:szCs w:val="28"/>
        </w:rPr>
        <w:t xml:space="preserve">数据报送齐全后，财政管理用户对其进行</w:t>
      </w:r>
      <w:r>
        <w:rPr>
          <w:rFonts w:hint="eastAsia" w:ascii="宋体" w:hAnsi="宋体"/>
          <w:sz w:val="28"/>
          <w:szCs w:val="28"/>
        </w:rPr>
        <w:t xml:space="preserve">查看、审核和汇总，形成本级</w:t>
      </w:r>
      <w:r>
        <w:rPr>
          <w:rFonts w:hint="eastAsia" w:ascii="宋体" w:hAnsi="宋体"/>
          <w:sz w:val="28"/>
          <w:szCs w:val="28"/>
        </w:rPr>
        <w:t xml:space="preserve">次</w:t>
      </w:r>
      <w:r>
        <w:rPr>
          <w:rFonts w:hint="eastAsia" w:ascii="宋体" w:hAnsi="宋体"/>
          <w:sz w:val="28"/>
          <w:szCs w:val="28"/>
        </w:rPr>
        <w:t xml:space="preserve">汇总数据。此时再次进入“数据录入”功能，选择本级</w:t>
      </w:r>
      <w:r>
        <w:rPr>
          <w:rFonts w:hint="eastAsia" w:ascii="宋体" w:hAnsi="宋体"/>
          <w:sz w:val="28"/>
          <w:szCs w:val="28"/>
        </w:rPr>
        <w:t xml:space="preserve">次</w:t>
      </w:r>
      <w:r>
        <w:rPr>
          <w:rFonts w:hint="eastAsia" w:ascii="宋体" w:hAnsi="宋体"/>
          <w:sz w:val="28"/>
          <w:szCs w:val="28"/>
        </w:rPr>
        <w:t xml:space="preserve">单位节点，点击功能菜单上的“上报”按钮，将数据报送到上级财政部门。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上报时系统自动执行公式审核，</w:t>
      </w:r>
      <w:r>
        <w:rPr>
          <w:rFonts w:hint="eastAsia" w:ascii="宋体" w:hAnsi="宋体"/>
          <w:b/>
          <w:sz w:val="28"/>
          <w:szCs w:val="28"/>
        </w:rPr>
        <w:t xml:space="preserve">如果审核不通过，将不允许上报。</w:t>
      </w:r>
      <w:r>
        <w:rPr>
          <w:rFonts w:hint="eastAsia" w:ascii="宋体" w:hAnsi="宋体"/>
          <w:b/>
          <w:sz w:val="28"/>
          <w:szCs w:val="28"/>
        </w:rPr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注：系统中审核公式分为“错误”、“警告”和“提示”三类，只有“错误”类公式审核报错时不允许上报。</w:t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48" w:name="_Toc1257"/>
      <w:r/>
      <w:bookmarkStart w:id="49" w:name="_Toc495404817"/>
      <w:r/>
      <w:bookmarkStart w:id="50" w:name="_Toc495645884"/>
      <w:r>
        <w:rPr>
          <w:rFonts w:hint="eastAsia" w:ascii="宋体" w:hAnsi="宋体"/>
        </w:rPr>
        <w:t xml:space="preserve">基金</w:t>
      </w:r>
      <w:r>
        <w:rPr>
          <w:rFonts w:hint="eastAsia" w:ascii="宋体" w:hAnsi="宋体"/>
        </w:rPr>
        <w:t xml:space="preserve">填报</w:t>
      </w:r>
      <w:r>
        <w:rPr>
          <w:rFonts w:hint="eastAsia" w:ascii="宋体" w:hAnsi="宋体"/>
        </w:rPr>
        <w:t xml:space="preserve">用户</w:t>
      </w:r>
      <w:r>
        <w:rPr>
          <w:rFonts w:hint="eastAsia" w:ascii="宋体" w:hAnsi="宋体"/>
        </w:rPr>
        <w:t xml:space="preserve">注册</w:t>
      </w:r>
      <w:r>
        <w:rPr>
          <w:rFonts w:hint="eastAsia" w:ascii="宋体" w:hAnsi="宋体"/>
        </w:rPr>
        <w:t xml:space="preserve">审批</w:t>
      </w:r>
      <w:bookmarkEnd w:id="33"/>
      <w:r/>
      <w:bookmarkEnd w:id="34"/>
      <w:r/>
      <w:bookmarkEnd w:id="35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基金填报用户</w:t>
      </w:r>
      <w:r>
        <w:rPr>
          <w:rFonts w:hint="eastAsia" w:ascii="宋体" w:hAnsi="宋体"/>
          <w:sz w:val="28"/>
          <w:szCs w:val="28"/>
        </w:rPr>
        <w:t xml:space="preserve">是指具体填报本套报表的各基金</w:t>
      </w:r>
      <w:r>
        <w:rPr>
          <w:rFonts w:hint="eastAsia" w:ascii="宋体" w:hAnsi="宋体"/>
          <w:sz w:val="28"/>
          <w:szCs w:val="28"/>
        </w:rPr>
        <w:t xml:space="preserve">单位</w:t>
      </w:r>
      <w:r>
        <w:rPr>
          <w:rFonts w:hint="eastAsia" w:ascii="宋体" w:hAnsi="宋体"/>
          <w:sz w:val="28"/>
          <w:szCs w:val="28"/>
        </w:rPr>
        <w:t xml:space="preserve">用户，</w:t>
      </w:r>
      <w:r>
        <w:rPr>
          <w:rFonts w:hint="eastAsia" w:ascii="宋体" w:hAnsi="宋体"/>
          <w:sz w:val="28"/>
          <w:szCs w:val="28"/>
        </w:rPr>
        <w:t xml:space="preserve">由各基金</w:t>
      </w:r>
      <w:r>
        <w:rPr>
          <w:rFonts w:hint="eastAsia" w:ascii="宋体" w:hAnsi="宋体"/>
          <w:sz w:val="28"/>
          <w:szCs w:val="28"/>
        </w:rPr>
        <w:t xml:space="preserve">单位</w:t>
      </w:r>
      <w:r>
        <w:rPr>
          <w:rFonts w:hint="eastAsia" w:ascii="宋体" w:hAnsi="宋体"/>
          <w:sz w:val="28"/>
          <w:szCs w:val="28"/>
        </w:rPr>
        <w:t xml:space="preserve">自行注册，注册信息由隶属的财政管理部门审批后生效，只有审批通过后基金</w:t>
      </w:r>
      <w:r>
        <w:rPr>
          <w:rFonts w:hint="eastAsia" w:ascii="宋体" w:hAnsi="宋体"/>
          <w:sz w:val="28"/>
          <w:szCs w:val="28"/>
        </w:rPr>
        <w:t xml:space="preserve">填报</w:t>
      </w:r>
      <w:r>
        <w:rPr>
          <w:rFonts w:hint="eastAsia" w:ascii="宋体" w:hAnsi="宋体"/>
          <w:sz w:val="28"/>
          <w:szCs w:val="28"/>
        </w:rPr>
        <w:t xml:space="preserve">用户才能登录系统进行数据填报。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财政管理用户点击“系统管理-用户注册审批”，进入</w:t>
      </w:r>
      <w:r>
        <w:rPr>
          <w:rFonts w:hint="eastAsia" w:ascii="宋体" w:hAnsi="宋体"/>
          <w:sz w:val="28"/>
          <w:szCs w:val="28"/>
        </w:rPr>
        <w:t xml:space="preserve">用户审批界面。</w:t>
      </w:r>
      <w:r>
        <w:rPr>
          <w:rFonts w:hint="eastAsia" w:ascii="宋体" w:hAnsi="宋体"/>
          <w:sz w:val="28"/>
          <w:szCs w:val="28"/>
        </w:rPr>
        <w:t xml:space="preserve">当前界面</w:t>
      </w:r>
      <w:r>
        <w:rPr>
          <w:rFonts w:hint="eastAsia" w:ascii="宋体" w:hAnsi="宋体"/>
          <w:sz w:val="28"/>
          <w:szCs w:val="28"/>
        </w:rPr>
        <w:t xml:space="preserve">可以</w:t>
      </w:r>
      <w:r>
        <w:rPr>
          <w:rFonts w:hint="eastAsia" w:ascii="宋体" w:hAnsi="宋体"/>
          <w:sz w:val="28"/>
          <w:szCs w:val="28"/>
        </w:rPr>
        <w:t xml:space="preserve">看到所有</w:t>
      </w:r>
      <w:r>
        <w:rPr>
          <w:rFonts w:hint="eastAsia" w:ascii="宋体" w:hAnsi="宋体"/>
          <w:sz w:val="28"/>
          <w:szCs w:val="28"/>
        </w:rPr>
        <w:t xml:space="preserve">向本级财政申请</w:t>
      </w:r>
      <w:r>
        <w:rPr>
          <w:rFonts w:hint="eastAsia" w:ascii="宋体" w:hAnsi="宋体"/>
          <w:sz w:val="28"/>
          <w:szCs w:val="28"/>
        </w:rPr>
        <w:t xml:space="preserve">注册</w:t>
      </w:r>
      <w:r>
        <w:rPr>
          <w:rFonts w:hint="eastAsia" w:ascii="宋体" w:hAnsi="宋体"/>
          <w:sz w:val="28"/>
          <w:szCs w:val="28"/>
        </w:rPr>
        <w:t xml:space="preserve">的</w:t>
      </w:r>
      <w:r>
        <w:rPr>
          <w:rFonts w:hint="eastAsia" w:ascii="宋体" w:hAnsi="宋体"/>
          <w:sz w:val="28"/>
          <w:szCs w:val="28"/>
        </w:rPr>
        <w:t xml:space="preserve">用户</w:t>
      </w:r>
      <w:r>
        <w:rPr>
          <w:rFonts w:hint="eastAsia" w:ascii="宋体" w:hAnsi="宋体"/>
          <w:sz w:val="28"/>
          <w:szCs w:val="28"/>
        </w:rPr>
        <w:t xml:space="preserve">，双击后可以看到</w:t>
      </w:r>
      <w:r>
        <w:rPr>
          <w:rFonts w:hint="eastAsia" w:ascii="宋体" w:hAnsi="宋体"/>
          <w:sz w:val="28"/>
          <w:szCs w:val="28"/>
        </w:rPr>
        <w:t xml:space="preserve">申请</w:t>
      </w:r>
      <w:r>
        <w:rPr>
          <w:rFonts w:hint="eastAsia" w:ascii="宋体" w:hAnsi="宋体"/>
          <w:sz w:val="28"/>
          <w:szCs w:val="28"/>
        </w:rPr>
        <w:t xml:space="preserve">注册用户的详细信息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可以选择“审核通过”或者“审核不通过”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相关审核信息会通过电子邮件发送给</w:t>
      </w:r>
      <w:r>
        <w:rPr>
          <w:rFonts w:hint="eastAsia" w:ascii="宋体" w:hAnsi="宋体"/>
          <w:sz w:val="28"/>
          <w:szCs w:val="28"/>
        </w:rPr>
        <w:t xml:space="preserve">申请</w:t>
      </w:r>
      <w:r>
        <w:rPr>
          <w:rFonts w:hint="eastAsia" w:ascii="宋体" w:hAnsi="宋体"/>
          <w:sz w:val="28"/>
          <w:szCs w:val="28"/>
        </w:rPr>
        <w:t xml:space="preserve">注册</w:t>
      </w:r>
      <w:r>
        <w:rPr>
          <w:rFonts w:hint="eastAsia" w:ascii="宋体" w:hAnsi="宋体"/>
          <w:sz w:val="28"/>
          <w:szCs w:val="28"/>
        </w:rPr>
        <w:t xml:space="preserve">用户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用户审核界面如下图：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3943" cy="2611755"/>
                <wp:effectExtent l="0" t="0" r="0" b="0"/>
                <wp:docPr id="8" name="_x0000_i17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93943" cy="261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448.34pt;height:205.65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</w:t>
      </w:r>
      <w:r>
        <w:rPr>
          <w:rFonts w:hint="eastAsia" w:ascii="仿宋_GB2312" w:hAnsi="仿宋" w:eastAsia="仿宋_GB2312"/>
          <w:sz w:val="28"/>
          <w:szCs w:val="28"/>
        </w:rPr>
        <w:t xml:space="preserve">点击审批不通过时</w:t>
      </w:r>
      <w:r>
        <w:rPr>
          <w:rFonts w:hint="eastAsia" w:ascii="仿宋_GB2312" w:hAnsi="仿宋" w:eastAsia="仿宋_GB2312"/>
          <w:sz w:val="28"/>
          <w:szCs w:val="28"/>
        </w:rPr>
        <w:t xml:space="preserve">，</w:t>
      </w:r>
      <w:r>
        <w:rPr>
          <w:rFonts w:hint="eastAsia" w:ascii="仿宋_GB2312" w:hAnsi="仿宋" w:eastAsia="仿宋_GB2312"/>
          <w:sz w:val="28"/>
          <w:szCs w:val="28"/>
        </w:rPr>
        <w:t xml:space="preserve">需要填写审批不通过意见</w:t>
      </w:r>
      <w:r>
        <w:rPr>
          <w:rFonts w:hint="eastAsia" w:ascii="仿宋_GB2312" w:hAnsi="仿宋" w:eastAsia="仿宋_GB2312"/>
          <w:sz w:val="28"/>
          <w:szCs w:val="28"/>
        </w:rPr>
        <w:t xml:space="preserve">；审批不通过的用户可以重新</w:t>
      </w:r>
      <w:r>
        <w:rPr>
          <w:rFonts w:hint="eastAsia" w:ascii="仿宋_GB2312" w:hAnsi="仿宋" w:eastAsia="仿宋_GB2312"/>
          <w:sz w:val="28"/>
          <w:szCs w:val="28"/>
        </w:rPr>
        <w:t xml:space="preserve">申请</w:t>
      </w:r>
      <w:r>
        <w:rPr>
          <w:rFonts w:hint="eastAsia" w:ascii="仿宋_GB2312" w:hAnsi="仿宋" w:eastAsia="仿宋_GB2312"/>
          <w:sz w:val="28"/>
          <w:szCs w:val="28"/>
        </w:rPr>
        <w:t xml:space="preserve">注册。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Start w:id="51" w:name="_Toc495645885"/>
      <w:r>
        <w:rPr>
          <w:rFonts w:hint="eastAsia" w:ascii="宋体" w:hAnsi="宋体"/>
        </w:rPr>
        <w:t xml:space="preserve">下级管理用户</w:t>
      </w:r>
      <w:r>
        <w:rPr>
          <w:rFonts w:hint="eastAsia" w:ascii="宋体" w:hAnsi="宋体"/>
        </w:rPr>
        <w:t xml:space="preserve">创建</w:t>
      </w:r>
      <w:bookmarkEnd w:id="36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财政管理用户可以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下级管理用户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点击“系统管理-用户管理”，进入用户管理界面。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 w:cs="宋体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3162" cy="3368535"/>
                <wp:effectExtent l="0" t="0" r="0" b="0"/>
                <wp:docPr id="9" name="_x0000_i17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83162" cy="336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431.75pt;height:265.24pt;mso-wrap-distance-left:0.00pt;mso-wrap-distance-top:0.00pt;mso-wrap-distance-right:0.00pt;mso-wrap-distance-bottom:0.00pt;z-index:1;" stroked="f">
                <v:imagedata r:id="rId19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cs="宋体"/>
          <w:sz w:val="28"/>
          <w:szCs w:val="28"/>
        </w:rPr>
      </w:r>
      <w:r>
        <w:rPr>
          <w:rFonts w:hint="eastAsia" w:ascii="宋体" w:hAnsi="宋体" w:cs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在左侧的行政区划列表中选择要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管理用户的区划，然后点击“新建”按钮，弹出</w:t>
      </w:r>
      <w:r>
        <w:rPr>
          <w:rFonts w:hint="eastAsia" w:ascii="宋体" w:hAnsi="宋体"/>
          <w:sz w:val="28"/>
          <w:szCs w:val="28"/>
        </w:rPr>
        <w:t xml:space="preserve">新建用户对话框，在其中填写管理员相关信息，在“关联角色”</w:t>
      </w:r>
      <w:r>
        <w:rPr>
          <w:rFonts w:hint="eastAsia" w:ascii="宋体" w:hAnsi="宋体"/>
          <w:sz w:val="28"/>
          <w:szCs w:val="28"/>
        </w:rPr>
        <w:t xml:space="preserve">中选择“基金运行_财政管理用户</w:t>
      </w:r>
      <w:r>
        <w:rPr>
          <w:rFonts w:ascii="宋体" w:hAnsi="宋体"/>
          <w:sz w:val="28"/>
          <w:szCs w:val="28"/>
        </w:rPr>
        <w:t xml:space="preserve">”</w:t>
      </w:r>
      <w:r>
        <w:rPr>
          <w:rFonts w:hint="eastAsia" w:ascii="宋体" w:hAnsi="宋体"/>
          <w:sz w:val="28"/>
          <w:szCs w:val="28"/>
        </w:rPr>
        <w:t xml:space="preserve">，即可完成用户</w:t>
      </w:r>
      <w:r>
        <w:rPr>
          <w:rFonts w:hint="eastAsia" w:ascii="宋体" w:hAnsi="宋体"/>
          <w:sz w:val="28"/>
          <w:szCs w:val="28"/>
        </w:rPr>
        <w:t xml:space="preserve">创建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  <w:t xml:space="preserve">鉴于财政管理用户需层层创建，建议各省、市财政部门</w:t>
      </w:r>
      <w:r>
        <w:rPr>
          <w:rFonts w:hint="eastAsia" w:ascii="宋体" w:hAnsi="宋体"/>
          <w:sz w:val="28"/>
          <w:szCs w:val="28"/>
        </w:rPr>
        <w:t xml:space="preserve">尽快</w:t>
      </w:r>
      <w:r>
        <w:rPr>
          <w:rFonts w:hint="eastAsia" w:ascii="宋体" w:hAnsi="宋体"/>
          <w:sz w:val="28"/>
          <w:szCs w:val="28"/>
        </w:rPr>
        <w:t xml:space="preserve">比照“2.2.1 省级财政管理用户创建”表格，另行统计下级财政部门业务管理人员信息。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</w:t>
      </w:r>
      <w:r>
        <w:rPr>
          <w:rFonts w:hint="eastAsia" w:ascii="仿宋_GB2312" w:hAnsi="仿宋" w:eastAsia="仿宋_GB2312"/>
          <w:sz w:val="28"/>
          <w:szCs w:val="28"/>
        </w:rPr>
        <w:t xml:space="preserve">用户信息中的“电话”</w:t>
      </w:r>
      <w:r>
        <w:rPr>
          <w:rFonts w:hint="eastAsia" w:ascii="仿宋_GB2312" w:hAnsi="仿宋" w:eastAsia="仿宋_GB2312"/>
          <w:sz w:val="28"/>
          <w:szCs w:val="28"/>
        </w:rPr>
        <w:t xml:space="preserve">及“邮箱”</w:t>
      </w:r>
      <w:r>
        <w:rPr>
          <w:rFonts w:hint="eastAsia" w:ascii="仿宋_GB2312" w:hAnsi="仿宋" w:eastAsia="仿宋_GB2312"/>
          <w:sz w:val="28"/>
          <w:szCs w:val="28"/>
        </w:rPr>
        <w:t xml:space="preserve">项，请填写该用户的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手机号码</w:t>
      </w:r>
      <w:r>
        <w:rPr>
          <w:rFonts w:hint="eastAsia" w:ascii="仿宋_GB2312" w:hAnsi="仿宋" w:eastAsia="仿宋_GB2312"/>
          <w:sz w:val="28"/>
          <w:szCs w:val="28"/>
        </w:rPr>
        <w:t xml:space="preserve">及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常用邮箱</w:t>
      </w:r>
      <w:r>
        <w:rPr>
          <w:rFonts w:hint="eastAsia" w:ascii="仿宋_GB2312" w:hAnsi="仿宋" w:eastAsia="仿宋_GB2312"/>
          <w:sz w:val="28"/>
          <w:szCs w:val="28"/>
        </w:rPr>
        <w:t xml:space="preserve">，用于登录系统时的短信验证</w:t>
      </w:r>
      <w:r>
        <w:rPr>
          <w:rFonts w:hint="eastAsia" w:ascii="仿宋_GB2312" w:hAnsi="仿宋" w:eastAsia="仿宋_GB2312"/>
          <w:sz w:val="28"/>
          <w:szCs w:val="28"/>
        </w:rPr>
        <w:t xml:space="preserve">和忘记密码时的密码找回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/>
      <w:bookmarkEnd w:id="37"/>
      <w:r/>
      <w:bookmarkEnd w:id="38"/>
      <w:r/>
      <w:bookmarkStart w:id="52" w:name="_Toc495645886"/>
      <w:r>
        <w:rPr>
          <w:rFonts w:hint="eastAsia" w:ascii="宋体" w:hAnsi="宋体"/>
          <w:sz w:val="52"/>
          <w:szCs w:val="52"/>
        </w:rPr>
        <w:t xml:space="preserve">基金填报用户</w:t>
      </w:r>
      <w:bookmarkEnd w:id="39"/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53" w:name="_Toc495645887"/>
      <w:r>
        <w:rPr>
          <w:rFonts w:hint="eastAsia" w:ascii="宋体" w:hAnsi="宋体" w:eastAsia="宋体"/>
          <w:sz w:val="36"/>
        </w:rPr>
        <w:t xml:space="preserve">基金填报用户职责</w:t>
      </w:r>
      <w:bookmarkEnd w:id="40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基金填报用户，其主要职责为如实填报相关报表数据，并上报</w:t>
      </w:r>
      <w:r>
        <w:rPr>
          <w:rFonts w:hint="eastAsia" w:ascii="宋体" w:hAnsi="宋体"/>
          <w:sz w:val="28"/>
          <w:szCs w:val="28"/>
        </w:rPr>
        <w:t xml:space="preserve">对应财政部门。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54" w:name="_Toc495645888"/>
      <w:r>
        <w:rPr>
          <w:rFonts w:hint="eastAsia" w:ascii="宋体" w:hAnsi="宋体" w:eastAsia="宋体"/>
          <w:sz w:val="36"/>
        </w:rPr>
        <w:t xml:space="preserve">基金填报</w:t>
      </w:r>
      <w:r>
        <w:rPr>
          <w:rFonts w:hint="eastAsia" w:ascii="宋体" w:hAnsi="宋体" w:eastAsia="宋体"/>
          <w:sz w:val="36"/>
        </w:rPr>
        <w:t xml:space="preserve">用户注册</w:t>
      </w:r>
      <w:bookmarkEnd w:id="41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基金填报用户，必须先注册，经由对应财政部门审批通过后，才能登录系统。</w:t>
      </w:r>
      <w:r>
        <w:rPr>
          <w:rFonts w:hint="eastAsia" w:ascii="宋体" w:hAnsi="宋体"/>
          <w:sz w:val="28"/>
          <w:szCs w:val="28"/>
        </w:rPr>
        <w:t xml:space="preserve">进入网址：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HYPERLINK "</w:instrText>
      </w:r>
      <w:r>
        <w:rPr>
          <w:rFonts w:ascii="宋体" w:hAnsi="宋体"/>
          <w:sz w:val="28"/>
          <w:szCs w:val="28"/>
        </w:rPr>
        <w:instrText xml:space="preserve">https://tybb.mof.gov.cn/</w:instrText>
      </w:r>
      <w:r>
        <w:rPr>
          <w:rFonts w:ascii="宋体" w:hAnsi="宋体"/>
          <w:sz w:val="28"/>
          <w:szCs w:val="28"/>
        </w:rPr>
        <w:instrText xml:space="preserve">"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 xml:space="preserve">https://tybb.mof.gov.cn/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 xml:space="preserve">后，点击</w:t>
      </w:r>
      <w:r>
        <w:rPr>
          <w:rFonts w:hint="eastAsia" w:ascii="宋体" w:hAnsi="宋体"/>
          <w:sz w:val="28"/>
          <w:szCs w:val="28"/>
        </w:rPr>
        <w:t xml:space="preserve">【立即注册】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即可进入用户注册界面。</w:t>
      </w:r>
      <w:r>
        <w:rPr>
          <w:rFonts w:hint="eastAsia" w:ascii="宋体" w:hAnsi="宋体"/>
          <w:sz w:val="28"/>
          <w:szCs w:val="28"/>
        </w:rPr>
        <w:t xml:space="preserve">如下图所示：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460" w:lineRule="atLeast"/>
        <w:ind/>
        <w:jc w:val="center"/>
        <w:rPr>
          <w:rFonts w:hint="eastAsia" w:ascii="宋体" w:hAnsi="宋体"/>
          <w:color w:val="00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4290" cy="7133590"/>
                <wp:effectExtent l="0" t="0" r="0" b="0"/>
                <wp:docPr id="10" name="_x0000_i17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114290" cy="713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402.70pt;height:561.70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  <w:color w:val="000000"/>
          <w:sz w:val="28"/>
          <w:szCs w:val="28"/>
        </w:rPr>
      </w:r>
      <w:r>
        <w:rPr>
          <w:rFonts w:hint="eastAsia" w:ascii="宋体" w:hAnsi="宋体"/>
          <w:color w:val="000000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主要</w:t>
      </w:r>
      <w:r>
        <w:rPr>
          <w:rFonts w:ascii="宋体" w:hAnsi="宋体"/>
          <w:sz w:val="28"/>
          <w:szCs w:val="28"/>
        </w:rPr>
        <w:t xml:space="preserve">信息分为三大部分</w:t>
      </w:r>
      <w:r>
        <w:rPr>
          <w:rFonts w:hint="eastAsia" w:ascii="宋体" w:hAnsi="宋体"/>
          <w:sz w:val="28"/>
          <w:szCs w:val="28"/>
        </w:rPr>
        <w:t xml:space="preserve">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业务类型：</w:t>
      </w:r>
      <w:r>
        <w:rPr>
          <w:rFonts w:hint="eastAsia" w:ascii="宋体" w:hAnsi="宋体"/>
          <w:sz w:val="28"/>
          <w:szCs w:val="28"/>
        </w:rPr>
        <w:t xml:space="preserve">注册用户所属的业务类型。</w:t>
      </w:r>
      <w:r>
        <w:rPr>
          <w:rFonts w:hint="eastAsia" w:ascii="宋体" w:hAnsi="宋体"/>
          <w:b/>
          <w:sz w:val="28"/>
          <w:szCs w:val="28"/>
        </w:rPr>
        <w:t xml:space="preserve">此处</w:t>
      </w:r>
      <w:r>
        <w:rPr>
          <w:rFonts w:hint="eastAsia" w:ascii="宋体" w:hAnsi="宋体"/>
          <w:b/>
          <w:sz w:val="28"/>
          <w:szCs w:val="28"/>
        </w:rPr>
        <w:t xml:space="preserve">须</w:t>
      </w:r>
      <w:r>
        <w:rPr>
          <w:rFonts w:hint="eastAsia" w:ascii="宋体" w:hAnsi="宋体"/>
          <w:b/>
          <w:sz w:val="28"/>
          <w:szCs w:val="28"/>
        </w:rPr>
        <w:t xml:space="preserve">选择“[JJYX]政府投资基金运行”</w:t>
      </w:r>
      <w:r>
        <w:rPr>
          <w:rFonts w:hint="eastAsia" w:ascii="宋体" w:hAnsi="宋体"/>
          <w:b/>
          <w:sz w:val="28"/>
          <w:szCs w:val="28"/>
        </w:rPr>
        <w:t xml:space="preserve">。</w:t>
      </w:r>
      <w:r>
        <w:rPr>
          <w:rFonts w:hint="eastAsia" w:ascii="宋体" w:hAnsi="宋体"/>
          <w:b/>
          <w:sz w:val="28"/>
          <w:szCs w:val="28"/>
        </w:rPr>
      </w:r>
      <w:r>
        <w:rPr>
          <w:rFonts w:hint="eastAsia" w:ascii="宋体" w:hAnsi="宋体"/>
          <w:b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用户信息：</w:t>
      </w:r>
      <w:r>
        <w:rPr>
          <w:rFonts w:hint="eastAsia" w:ascii="宋体" w:hAnsi="宋体"/>
          <w:sz w:val="28"/>
          <w:szCs w:val="28"/>
        </w:rPr>
        <w:t xml:space="preserve">当前注册用户的个人信息。</w:t>
      </w:r>
      <w:r>
        <w:rPr>
          <w:rFonts w:hint="eastAsia" w:ascii="宋体" w:hAnsi="宋体"/>
          <w:sz w:val="28"/>
          <w:szCs w:val="28"/>
        </w:rPr>
        <w:t xml:space="preserve">其中登录名会自动加上</w:t>
      </w:r>
      <w:r>
        <w:rPr>
          <w:rFonts w:hint="eastAsia" w:ascii="宋体" w:hAnsi="宋体"/>
          <w:b/>
          <w:sz w:val="28"/>
          <w:szCs w:val="28"/>
        </w:rPr>
        <w:t xml:space="preserve">“@JJYX</w:t>
      </w:r>
      <w:r>
        <w:rPr>
          <w:rFonts w:ascii="宋体" w:hAnsi="宋体"/>
          <w:b/>
          <w:sz w:val="28"/>
          <w:szCs w:val="28"/>
        </w:rPr>
        <w:t xml:space="preserve">”</w:t>
      </w:r>
      <w:r>
        <w:rPr>
          <w:rFonts w:hint="eastAsia" w:ascii="宋体" w:hAnsi="宋体"/>
          <w:b/>
          <w:sz w:val="28"/>
          <w:szCs w:val="28"/>
        </w:rPr>
        <w:t xml:space="preserve">的后缀</w:t>
      </w:r>
      <w:r>
        <w:rPr>
          <w:rFonts w:hint="eastAsia" w:ascii="宋体" w:hAnsi="宋体"/>
          <w:sz w:val="28"/>
          <w:szCs w:val="28"/>
        </w:rPr>
        <w:t xml:space="preserve">，表名该用户是一个基金填报用户。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企业信息：此处主要填写基金的相关</w:t>
      </w:r>
      <w:r>
        <w:rPr>
          <w:rFonts w:hint="eastAsia" w:ascii="宋体" w:hAnsi="宋体"/>
          <w:sz w:val="28"/>
          <w:szCs w:val="28"/>
        </w:rPr>
        <w:t xml:space="preserve">信息。行政区划需要选择本基金所对应的行政区划。如：北京市</w:t>
      </w:r>
      <w:r>
        <w:rPr>
          <w:rFonts w:hint="eastAsia" w:ascii="宋体" w:hAnsi="宋体"/>
          <w:sz w:val="28"/>
          <w:szCs w:val="28"/>
        </w:rPr>
        <w:t xml:space="preserve">直属</w:t>
      </w:r>
      <w:r>
        <w:rPr>
          <w:rFonts w:hint="eastAsia" w:ascii="宋体" w:hAnsi="宋体"/>
          <w:sz w:val="28"/>
          <w:szCs w:val="28"/>
        </w:rPr>
        <w:t xml:space="preserve">基金，行政区划选择“</w:t>
      </w:r>
      <w:r>
        <w:rPr>
          <w:rFonts w:hint="eastAsia" w:ascii="宋体" w:hAnsi="宋体"/>
          <w:sz w:val="28"/>
          <w:szCs w:val="28"/>
        </w:rPr>
        <w:t xml:space="preserve">[110000]北京市”；东城区的区属基金，行政区划选择“[110101]东城区”。此处选择哪个行政区划，就由哪个</w:t>
      </w:r>
      <w:r>
        <w:rPr>
          <w:rFonts w:hint="eastAsia" w:ascii="宋体" w:hAnsi="宋体"/>
          <w:sz w:val="28"/>
          <w:szCs w:val="28"/>
        </w:rPr>
        <w:t xml:space="preserve">财政的管理用户进行审批。</w:t>
      </w:r>
      <w:r>
        <w:rPr>
          <w:rFonts w:ascii="宋体" w:hAnsi="宋体"/>
          <w:sz w:val="28"/>
          <w:szCs w:val="28"/>
        </w:rPr>
      </w:r>
      <w:r>
        <w:rPr>
          <w:rFonts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</w:t>
      </w:r>
      <w:r>
        <w:rPr>
          <w:rFonts w:hint="eastAsia" w:ascii="仿宋_GB2312" w:hAnsi="仿宋" w:eastAsia="仿宋_GB2312"/>
          <w:sz w:val="28"/>
          <w:szCs w:val="28"/>
        </w:rPr>
        <w:t xml:space="preserve">其中末尾有【*】为必填信息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  <w:t xml:space="preserve">其中个人信息、邮箱、手机以及企业信息请保持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真实有效</w:t>
      </w:r>
      <w:r>
        <w:rPr>
          <w:rFonts w:hint="eastAsia" w:ascii="仿宋_GB2312" w:hAnsi="仿宋" w:eastAsia="仿宋_GB2312"/>
          <w:sz w:val="28"/>
          <w:szCs w:val="28"/>
        </w:rPr>
        <w:t xml:space="preserve">，该信息不仅会成为审批重要依据，邮箱信息与【忘记密码】功能紧密相关，可以通过邮箱找回登录密码。</w:t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Start w:id="55" w:name="_Toc495645889"/>
      <w:r>
        <w:rPr>
          <w:rFonts w:hint="eastAsia" w:ascii="宋体" w:hAnsi="宋体" w:eastAsia="宋体"/>
          <w:sz w:val="36"/>
        </w:rPr>
        <w:t xml:space="preserve">基金填报用户登陆</w:t>
      </w:r>
      <w:bookmarkEnd w:id="42"/>
      <w:r>
        <w:rPr>
          <w:rFonts w:hint="eastAsia" w:ascii="宋体" w:hAnsi="宋体" w:eastAsia="宋体"/>
          <w:sz w:val="36"/>
        </w:rPr>
      </w:r>
      <w:r>
        <w:rPr>
          <w:rFonts w:hint="eastAsia" w:ascii="宋体" w:hAnsi="宋体" w:eastAsia="宋体"/>
          <w:sz w:val="36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在登录界面输入用户名、密码，经过手机短信验证后，即可登陆进入系统，</w:t>
      </w:r>
      <w:r>
        <w:rPr>
          <w:rFonts w:hint="eastAsia" w:ascii="宋体" w:hAnsi="宋体"/>
          <w:sz w:val="28"/>
          <w:szCs w:val="28"/>
        </w:rPr>
        <w:t xml:space="preserve">基金填报</w:t>
      </w:r>
      <w:r>
        <w:rPr>
          <w:rFonts w:hint="eastAsia" w:ascii="宋体" w:hAnsi="宋体"/>
          <w:sz w:val="28"/>
          <w:szCs w:val="28"/>
        </w:rPr>
        <w:t xml:space="preserve">用户的系统界面如下：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w:rPr>
          <w:rFonts w:hint="eastAsia"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8069" cy="2586279"/>
                <wp:effectExtent l="0" t="0" r="0" b="0"/>
                <wp:docPr id="11" name="_x0000_i17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78069" cy="2586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31.34pt;height:203.64pt;mso-wrap-distance-left:0.00pt;mso-wrap-distance-top:0.00pt;mso-wrap-distance-right:0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注：用户名不区分大小写，</w:t>
      </w:r>
      <w:r>
        <w:rPr>
          <w:rFonts w:hint="eastAsia" w:ascii="仿宋_GB2312" w:hAnsi="仿宋" w:eastAsia="仿宋_GB2312"/>
          <w:b/>
          <w:sz w:val="28"/>
          <w:szCs w:val="28"/>
        </w:rPr>
        <w:t xml:space="preserve">密码区分大小写</w:t>
      </w:r>
      <w:r>
        <w:rPr>
          <w:rFonts w:hint="eastAsia" w:ascii="仿宋_GB2312" w:hAnsi="仿宋" w:eastAsia="仿宋_GB2312"/>
          <w:sz w:val="28"/>
          <w:szCs w:val="28"/>
        </w:rPr>
        <w:t xml:space="preserve">；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连续5次密码错误后，用户锁定15分钟</w:t>
      </w:r>
      <w:r>
        <w:rPr>
          <w:rFonts w:hint="eastAsia" w:ascii="仿宋_GB2312" w:hAnsi="仿宋" w:eastAsia="仿宋_GB2312"/>
          <w:sz w:val="28"/>
          <w:szCs w:val="28"/>
        </w:rPr>
        <w:t xml:space="preserve">；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8"/>
        <w:pBdr/>
        <w:spacing w:line="360" w:lineRule="auto"/>
        <w:ind w:firstLine="562"/>
        <w:rPr>
          <w:rFonts w:hint="eastAsia"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 xml:space="preserve">基金填报用户登录名都包含“@JJYX”,请勿遗忘。</w:t>
      </w:r>
      <w:r>
        <w:rPr>
          <w:rFonts w:hint="eastAsia" w:ascii="仿宋_GB2312" w:hAnsi="仿宋" w:eastAsia="仿宋_GB2312"/>
          <w:b/>
          <w:sz w:val="28"/>
          <w:szCs w:val="28"/>
        </w:rPr>
      </w:r>
    </w:p>
    <w:p>
      <w:pPr>
        <w:pStyle w:val="670"/>
        <w:numPr>
          <w:ilvl w:val="1"/>
          <w:numId w:val="9"/>
        </w:numPr>
        <w:pBdr/>
        <w:spacing w:line="360" w:lineRule="auto"/>
        <w:ind/>
        <w:rPr>
          <w:rFonts w:hint="eastAsia" w:ascii="宋体" w:hAnsi="宋体" w:eastAsia="宋体"/>
          <w:sz w:val="36"/>
        </w:rPr>
      </w:pPr>
      <w:r/>
      <w:bookmarkEnd w:id="43"/>
      <w:r/>
      <w:bookmarkStart w:id="56" w:name="_Toc495645890"/>
      <w:r/>
      <w:bookmarkStart w:id="57" w:name="_Toc495645891"/>
      <w:r>
        <w:rPr>
          <w:rFonts w:hint="eastAsia" w:ascii="宋体" w:hAnsi="宋体" w:eastAsia="宋体"/>
          <w:sz w:val="36"/>
        </w:rPr>
        <w:t xml:space="preserve">基金填报用户主要功能</w:t>
      </w:r>
      <w:bookmarkEnd w:id="44"/>
      <w:r>
        <w:rPr>
          <w:rFonts w:hint="eastAsia" w:ascii="宋体" w:hAnsi="宋体" w:eastAsia="宋体"/>
          <w:sz w:val="36"/>
        </w:rPr>
        <w:t xml:space="preserve"> </w:t>
      </w:r>
      <w:r>
        <w:rPr>
          <w:rFonts w:hint="eastAsia" w:ascii="宋体" w:hAnsi="宋体" w:eastAsia="宋体"/>
          <w:sz w:val="36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>
        <w:rPr>
          <w:rFonts w:hint="eastAsia" w:ascii="宋体" w:hAnsi="宋体"/>
        </w:rPr>
        <w:t xml:space="preserve">数据录入</w:t>
      </w:r>
      <w:bookmarkEnd w:id="45"/>
      <w:r/>
      <w:bookmarkEnd w:id="46"/>
      <w:r/>
      <w:bookmarkEnd w:id="47"/>
      <w:r/>
      <w:bookmarkEnd w:id="48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登录系统后，点击“数据管理-数据录入”，或者点击首页“常用功能”中的“数据录入”，即可进入到具体报表的</w:t>
      </w:r>
      <w:r>
        <w:rPr>
          <w:rFonts w:hint="eastAsia" w:ascii="宋体" w:hAnsi="宋体"/>
          <w:sz w:val="28"/>
          <w:szCs w:val="28"/>
        </w:rPr>
        <w:t xml:space="preserve">录入</w:t>
      </w:r>
      <w:r>
        <w:rPr>
          <w:rFonts w:hint="eastAsia" w:ascii="宋体" w:hAnsi="宋体"/>
          <w:sz w:val="28"/>
          <w:szCs w:val="28"/>
        </w:rPr>
        <w:t xml:space="preserve">界面，如下图：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  <w:color w:val="00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1074" cy="3386938"/>
                <wp:effectExtent l="0" t="0" r="0" b="0"/>
                <wp:docPr id="12" name="_x0000_i17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91074" cy="3386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432.37pt;height:266.69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  <w:color w:val="000000"/>
          <w:sz w:val="28"/>
          <w:szCs w:val="28"/>
        </w:rPr>
      </w:r>
      <w:r>
        <w:rPr>
          <w:rFonts w:hint="eastAsia" w:ascii="宋体" w:hAnsi="宋体"/>
          <w:color w:val="000000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灰色单元格为表样单元格，不可修改；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绿色单元格为自动运行单元格</w:t>
      </w:r>
      <w:r>
        <w:rPr>
          <w:rFonts w:hint="eastAsia" w:ascii="宋体" w:hAnsi="宋体"/>
          <w:sz w:val="28"/>
          <w:szCs w:val="28"/>
        </w:rPr>
        <w:t xml:space="preserve">，不可修改，数据自动计算产生；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白色单元格为可填报单元格，可以录入。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>
        <w:rPr>
          <w:rFonts w:hint="eastAsia" w:ascii="宋体" w:hAnsi="宋体"/>
        </w:rPr>
        <w:t xml:space="preserve">审核上报</w:t>
      </w:r>
      <w:bookmarkEnd w:id="49"/>
      <w:r/>
      <w:bookmarkEnd w:id="50"/>
      <w:r/>
      <w:bookmarkEnd w:id="51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完成数据填报后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需要点击</w:t>
      </w:r>
      <w:r>
        <w:rPr>
          <w:rFonts w:hint="eastAsia" w:ascii="宋体" w:hAnsi="宋体"/>
          <w:sz w:val="28"/>
          <w:szCs w:val="28"/>
        </w:rPr>
        <w:t xml:space="preserve">【保存】</w:t>
      </w:r>
      <w:r>
        <w:rPr>
          <w:rFonts w:hint="eastAsia" w:ascii="宋体" w:hAnsi="宋体"/>
          <w:sz w:val="28"/>
          <w:szCs w:val="28"/>
        </w:rPr>
        <w:t xml:space="preserve">按钮</w:t>
      </w:r>
      <w:r>
        <w:rPr>
          <w:rFonts w:hint="eastAsia" w:ascii="宋体" w:hAnsi="宋体"/>
          <w:sz w:val="28"/>
          <w:szCs w:val="28"/>
        </w:rPr>
        <w:t xml:space="preserve">保存数据。点击</w:t>
      </w:r>
      <w:r>
        <w:rPr>
          <w:rFonts w:hint="eastAsia" w:ascii="宋体" w:hAnsi="宋体"/>
          <w:sz w:val="28"/>
          <w:szCs w:val="28"/>
        </w:rPr>
        <w:t xml:space="preserve">【审核】按钮对数据进行</w:t>
      </w:r>
      <w:r>
        <w:rPr>
          <w:rFonts w:hint="eastAsia" w:ascii="宋体" w:hAnsi="宋体"/>
          <w:sz w:val="28"/>
          <w:szCs w:val="28"/>
        </w:rPr>
        <w:t xml:space="preserve">基本的勾稽关系校验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如果审核发现错误，将会在表格下</w:t>
      </w:r>
      <w:r>
        <w:rPr>
          <w:rFonts w:hint="eastAsia" w:ascii="宋体" w:hAnsi="宋体"/>
          <w:sz w:val="28"/>
          <w:szCs w:val="28"/>
        </w:rPr>
        <w:t xml:space="preserve">方出现</w:t>
      </w:r>
      <w:r>
        <w:rPr>
          <w:rFonts w:hint="eastAsia" w:ascii="宋体" w:hAnsi="宋体"/>
          <w:sz w:val="28"/>
          <w:szCs w:val="28"/>
        </w:rPr>
        <w:t xml:space="preserve">提示，需要按照公式提示检查或修改。审核结果如下图所示：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jc w:val="center"/>
        <w:rPr>
          <w:rFonts w:ascii="宋体" w:hAnsi="宋体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25" cy="3379038"/>
                <wp:effectExtent l="0" t="0" r="0" b="0"/>
                <wp:docPr id="13" name="_x0000_i17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486425" cy="337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432.00pt;height:266.07pt;mso-wrap-distance-left:0.00pt;mso-wrap-distance-top:0.00pt;mso-wrap-distance-right:0.00pt;mso-wrap-distance-bottom:0.00pt;z-index:1;" stroked="f">
                <v:imagedata r:id="rId23" o:title=""/>
                <o:lock v:ext="edit" rotation="t"/>
              </v:shape>
            </w:pict>
          </mc:Fallback>
        </mc:AlternateContent>
      </w:r>
      <w:r>
        <w:rPr>
          <w:rFonts w:ascii="宋体" w:hAnsi="宋体"/>
          <w:sz w:val="28"/>
          <w:szCs w:val="28"/>
        </w:rPr>
      </w:r>
      <w:r>
        <w:rPr>
          <w:rFonts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当所有数据</w:t>
      </w:r>
      <w:r>
        <w:rPr>
          <w:rFonts w:hint="eastAsia" w:ascii="宋体" w:hAnsi="宋体"/>
          <w:sz w:val="28"/>
          <w:szCs w:val="28"/>
        </w:rPr>
        <w:t xml:space="preserve">填报及提示检查</w:t>
      </w:r>
      <w:r>
        <w:rPr>
          <w:rFonts w:hint="eastAsia" w:ascii="宋体" w:hAnsi="宋体"/>
          <w:sz w:val="28"/>
          <w:szCs w:val="28"/>
        </w:rPr>
        <w:t xml:space="preserve">完成之后，即可点击功能菜单【上报】按钮，完成数据上报工作。</w:t>
      </w:r>
      <w:r>
        <w:rPr>
          <w:rFonts w:hint="eastAsia" w:ascii="宋体" w:hAnsi="宋体"/>
          <w:sz w:val="28"/>
          <w:szCs w:val="28"/>
        </w:rPr>
        <w:t xml:space="preserve">上报时系统自动执行公式审核，</w:t>
      </w:r>
      <w:r>
        <w:rPr>
          <w:rFonts w:hint="eastAsia" w:ascii="宋体" w:hAnsi="宋体"/>
          <w:b/>
          <w:sz w:val="28"/>
          <w:szCs w:val="28"/>
        </w:rPr>
        <w:t xml:space="preserve">如果审核不通过，将不允许上报。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注：系统中审核公式分为“错误”、“警告”和“提示”三类，只有</w:t>
      </w:r>
      <w:r>
        <w:rPr>
          <w:rFonts w:hint="eastAsia" w:ascii="仿宋_GB2312" w:hAnsi="仿宋" w:eastAsia="仿宋_GB2312"/>
          <w:sz w:val="28"/>
          <w:szCs w:val="28"/>
        </w:rPr>
        <w:t xml:space="preserve">“错误”类公式审核报错时不允许上报。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>
        <w:rPr>
          <w:rFonts w:hint="eastAsia" w:ascii="宋体" w:hAnsi="宋体"/>
        </w:rPr>
        <w:t xml:space="preserve">导出功能</w:t>
      </w:r>
      <w:bookmarkEnd w:id="52"/>
      <w:r/>
      <w:bookmarkEnd w:id="53"/>
      <w:r/>
      <w:bookmarkEnd w:id="54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系统提供多种导出方式，方便将已经填报的报表导出成文件保存。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2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方法一：</w:t>
      </w:r>
      <w:r>
        <w:rPr>
          <w:rFonts w:hint="eastAsia" w:ascii="宋体" w:hAnsi="宋体"/>
          <w:sz w:val="28"/>
          <w:szCs w:val="28"/>
        </w:rPr>
        <w:t xml:space="preserve">填报界面中导出</w:t>
      </w:r>
      <w:r>
        <w:rPr>
          <w:rFonts w:hint="eastAsia" w:ascii="宋体" w:hAnsi="宋体"/>
          <w:sz w:val="28"/>
          <w:szCs w:val="28"/>
        </w:rPr>
        <w:t xml:space="preserve">，</w:t>
      </w:r>
      <w:r>
        <w:rPr>
          <w:rFonts w:hint="eastAsia" w:ascii="宋体" w:hAnsi="宋体"/>
          <w:sz w:val="28"/>
          <w:szCs w:val="28"/>
        </w:rPr>
        <w:t xml:space="preserve">如下图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rPr>
          <w:rFonts w:hint="eastAsia" w:ascii="宋体" w:hAnsi="宋体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1582" cy="3382543"/>
                <wp:effectExtent l="0" t="0" r="0" b="0"/>
                <wp:docPr id="14" name="_x0000_i17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491582" cy="3382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432.41pt;height:266.34pt;mso-wrap-distance-left:0.00pt;mso-wrap-distance-top:0.00pt;mso-wrap-distance-right:0.00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通过快捷的勾选选择导出的报表，然后生成本地</w:t>
      </w:r>
      <w:r>
        <w:rPr>
          <w:rFonts w:hint="eastAsia" w:ascii="宋体" w:hAnsi="宋体"/>
          <w:sz w:val="28"/>
          <w:szCs w:val="28"/>
        </w:rPr>
        <w:t xml:space="preserve">E</w:t>
      </w:r>
      <w:r>
        <w:rPr>
          <w:rFonts w:hint="eastAsia" w:ascii="宋体" w:hAnsi="宋体"/>
          <w:sz w:val="28"/>
          <w:szCs w:val="28"/>
        </w:rPr>
        <w:t xml:space="preserve">xcel文件</w:t>
      </w:r>
      <w:r>
        <w:rPr>
          <w:rFonts w:hint="eastAsia" w:ascii="宋体" w:hAnsi="宋体"/>
          <w:sz w:val="28"/>
          <w:szCs w:val="28"/>
        </w:rPr>
        <w:t xml:space="preserve">,同时系统支持对导出的Excel文件进行编辑，修改数据后再导入系统，这也</w:t>
      </w:r>
      <w:r>
        <w:rPr>
          <w:rFonts w:hint="eastAsia" w:ascii="宋体" w:hAnsi="宋体"/>
          <w:sz w:val="28"/>
          <w:szCs w:val="28"/>
        </w:rPr>
        <w:t xml:space="preserve">是系统支持离线填报方式之一。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777240</wp:posOffset>
                </wp:positionV>
                <wp:extent cx="1600200" cy="297180"/>
                <wp:effectExtent l="0" t="0" r="0" b="0"/>
                <wp:wrapNone/>
                <wp:docPr id="15" name="_x0000_s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0800000">
                          <a:off x="0" y="0"/>
                          <a:ext cx="1600200" cy="297180"/>
                        </a:xfrm>
                        <a:custGeom>
                          <a:avLst>
                            <a:gd name="adj0" fmla="val 10834"/>
                            <a:gd name="adj1" fmla="val -40015"/>
                          </a:avLst>
                          <a:gdLst>
                            <a:gd name="gd0" fmla="val 65536"/>
                            <a:gd name="gd1" fmla="+- 10800 0 adj0"/>
                            <a:gd name="gd2" fmla="+- 10800 0 adj1"/>
                            <a:gd name="gd3" fmla="+- adj0 0 adj1"/>
                            <a:gd name="gd4" fmla="+- gd1 gd2 0"/>
                            <a:gd name="gd5" fmla="+- 21600 0 adj0"/>
                            <a:gd name="gd6" fmla="+- 21600 0 adj1"/>
                            <a:gd name="gd7" fmla="?: gd1 3600 12600"/>
                            <a:gd name="gd8" fmla="?: gd1 9000 18000"/>
                            <a:gd name="gd9" fmla="?: gd2 3600 12600"/>
                            <a:gd name="gd10" fmla="?: gd2 9000 18000"/>
                            <a:gd name="gd11" fmla="?: gd3 0 adj0"/>
                            <a:gd name="gd12" fmla="?: gd4 gd11 0"/>
                            <a:gd name="gd13" fmla="?: adj0 0 gd12"/>
                            <a:gd name="gd14" fmla="?: gd3 gd7 adj0"/>
                            <a:gd name="gd15" fmla="?: gd4 gd7 gd14"/>
                            <a:gd name="gd16" fmla="?: gd6 gd7 gd15"/>
                            <a:gd name="gd17" fmla="?: gd3 adj0 21600"/>
                            <a:gd name="gd18" fmla="?: gd4 21600 gd17"/>
                            <a:gd name="gd19" fmla="?: gd5 21600 gd18"/>
                            <a:gd name="gd20" fmla="?: gd3 adj0 gd7"/>
                            <a:gd name="gd21" fmla="?: gd4 gd20 gd7"/>
                            <a:gd name="gd22" fmla="?: adj1 gd7 gd21"/>
                            <a:gd name="gd23" fmla="?: gd3 gd9 adj1"/>
                            <a:gd name="gd24" fmla="?: gd4 gd23 gd9"/>
                            <a:gd name="gd25" fmla="?: adj0 gd9 gd24"/>
                            <a:gd name="gd26" fmla="?: gd3 21600 adj1"/>
                            <a:gd name="gd27" fmla="?: gd4 21600 gd26"/>
                            <a:gd name="gd28" fmla="?: gd6 21600 gd27"/>
                            <a:gd name="gd29" fmla="?: gd3 adj1 gd9"/>
                            <a:gd name="gd30" fmla="?: gd4 gd9 gd29"/>
                            <a:gd name="gd31" fmla="?: gd5 gd9 gd30"/>
                            <a:gd name="gd32" fmla="?: gd3 adj1 0"/>
                            <a:gd name="gd33" fmla="?: gd4 gd32 0"/>
                            <a:gd name="gd34" fmla="?: adj1 0 gd33"/>
                            <a:gd name="gd35" fmla="val adj0"/>
                            <a:gd name="gd36" fmla="val adj1"/>
                            <a:gd name="gd37" fmla="val 0"/>
                            <a:gd name="gd38" fmla="val 0"/>
                            <a:gd name="gd39" fmla="val 0"/>
                            <a:gd name="gd40" fmla="val gd9"/>
                            <a:gd name="gd41" fmla="val gd13"/>
                            <a:gd name="gd42" fmla="val gd25"/>
                            <a:gd name="gd43" fmla="val 0"/>
                            <a:gd name="gd44" fmla="val gd10"/>
                            <a:gd name="gd45" fmla="val 0"/>
                            <a:gd name="gd46" fmla="val 21600"/>
                            <a:gd name="gd47" fmla="val gd7"/>
                            <a:gd name="gd48" fmla="val 21600"/>
                            <a:gd name="gd49" fmla="val gd16"/>
                            <a:gd name="gd50" fmla="val gd28"/>
                            <a:gd name="gd51" fmla="val gd8"/>
                            <a:gd name="gd52" fmla="val 21600"/>
                            <a:gd name="gd53" fmla="val 21600"/>
                            <a:gd name="gd54" fmla="val 21600"/>
                            <a:gd name="gd55" fmla="val 21600"/>
                            <a:gd name="gd56" fmla="val gd10"/>
                            <a:gd name="gd57" fmla="val gd19"/>
                            <a:gd name="gd58" fmla="val gd31"/>
                            <a:gd name="gd59" fmla="val 21600"/>
                            <a:gd name="gd60" fmla="val gd9"/>
                            <a:gd name="gd61" fmla="val 21600"/>
                            <a:gd name="gd62" fmla="val 0"/>
                            <a:gd name="gd63" fmla="val gd8"/>
                            <a:gd name="gd64" fmla="val 0"/>
                            <a:gd name="gd65" fmla="val gd22"/>
                            <a:gd name="gd66" fmla="val gd34"/>
                            <a:gd name="gd67" fmla="val gd7"/>
                            <a:gd name="gd68" fmla="val 0"/>
                            <a:gd name="gd69" fmla="*/ w adj0 21600"/>
                            <a:gd name="gd70" fmla="*/ h adj1 21600"/>
                          </a:gdLst>
                          <a:ahLst>
                            <a:ahXY gdRefX="adj0" minX="-21474836" maxX="21474836" gdRefY="adj1" minY="-21474836" maxY="21474836">
                              <a:pos x="gd69" y="gd70"/>
                            </a:ahXY>
                          </a:ahLst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37" y="gd38"/>
                              </a:move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导出选项设置</w:t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" o:spid="_x0000_s14" style="position:absolute;z-index:251658241;o:allowoverlap:true;o:allowincell:true;mso-position-horizontal-relative:text;margin-left:300.60pt;mso-position-horizontal:absolute;mso-position-vertical-relative:text;margin-top:61.20pt;mso-position-vertical:absolute;width:126.00pt;height:23.40pt;mso-wrap-distance-left:9.00pt;mso-wrap-distance-top:0.00pt;mso-wrap-distance-right:9.00pt;mso-wrap-distance-bottom:0.00pt;rotation:180;visibility:visible;" path="m0,0l0,16667l0,16667l0,41667l0,100000l58333,100000l58333,100000l83333,100000l100000,100000l100000,41667l100000,16667l100000,16667l100000,0l83333,0l50157,-185254l58333,0xe" coordsize="100000,100000" fillcolor="#FFFFFF" strokecolor="#000000">
                <v:path textboxrect="0,0,0,0"/>
                <v:textbox inset="0,0,0,0">
                  <w:txbxContent>
                    <w:p>
                      <w:pPr>
                        <w:pStyle w:val="668"/>
                        <w:pBdr/>
                        <w:spacing/>
                        <w:ind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导出选项设置</w:t>
                      </w:r>
                      <w:r>
                        <w:rPr>
                          <w:rFonts w:hint="eastAsia"/>
                        </w:rPr>
                      </w:r>
                    </w:p>
                    <w:p>
                      <w:pPr>
                        <w:pStyle w:val="668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28"/>
          <w:szCs w:val="28"/>
        </w:rPr>
        <w:t xml:space="preserve">方法二：</w:t>
      </w:r>
      <w:r>
        <w:rPr>
          <w:rFonts w:hint="eastAsia" w:ascii="宋体" w:hAnsi="宋体"/>
          <w:sz w:val="28"/>
          <w:szCs w:val="28"/>
        </w:rPr>
        <w:t xml:space="preserve">通过点击菜单栏中【报表导出】功能进行批量导出，界面如下图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/>
        <w:jc w:val="center"/>
        <w:rPr>
          <w:rFonts w:ascii="宋体" w:hAnsi="宋体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1911350</wp:posOffset>
                </wp:positionV>
                <wp:extent cx="1600200" cy="297180"/>
                <wp:effectExtent l="0" t="0" r="0" b="0"/>
                <wp:wrapNone/>
                <wp:docPr id="16" name="_x0000_s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00200" cy="297180"/>
                        </a:xfrm>
                        <a:custGeom>
                          <a:avLst>
                            <a:gd name="adj0" fmla="val 10834"/>
                            <a:gd name="adj1" fmla="val -40015"/>
                          </a:avLst>
                          <a:gdLst>
                            <a:gd name="gd0" fmla="val 65536"/>
                            <a:gd name="gd1" fmla="+- 10800 0 adj0"/>
                            <a:gd name="gd2" fmla="+- 10800 0 adj1"/>
                            <a:gd name="gd3" fmla="+- adj0 0 adj1"/>
                            <a:gd name="gd4" fmla="+- gd1 gd2 0"/>
                            <a:gd name="gd5" fmla="+- 21600 0 adj0"/>
                            <a:gd name="gd6" fmla="+- 21600 0 adj1"/>
                            <a:gd name="gd7" fmla="?: gd1 3600 12600"/>
                            <a:gd name="gd8" fmla="?: gd1 9000 18000"/>
                            <a:gd name="gd9" fmla="?: gd2 3600 12600"/>
                            <a:gd name="gd10" fmla="?: gd2 9000 18000"/>
                            <a:gd name="gd11" fmla="?: gd3 0 adj0"/>
                            <a:gd name="gd12" fmla="?: gd4 gd11 0"/>
                            <a:gd name="gd13" fmla="?: adj0 0 gd12"/>
                            <a:gd name="gd14" fmla="?: gd3 gd7 adj0"/>
                            <a:gd name="gd15" fmla="?: gd4 gd7 gd14"/>
                            <a:gd name="gd16" fmla="?: gd6 gd7 gd15"/>
                            <a:gd name="gd17" fmla="?: gd3 adj0 21600"/>
                            <a:gd name="gd18" fmla="?: gd4 21600 gd17"/>
                            <a:gd name="gd19" fmla="?: gd5 21600 gd18"/>
                            <a:gd name="gd20" fmla="?: gd3 adj0 gd7"/>
                            <a:gd name="gd21" fmla="?: gd4 gd20 gd7"/>
                            <a:gd name="gd22" fmla="?: adj1 gd7 gd21"/>
                            <a:gd name="gd23" fmla="?: gd3 gd9 adj1"/>
                            <a:gd name="gd24" fmla="?: gd4 gd23 gd9"/>
                            <a:gd name="gd25" fmla="?: adj0 gd9 gd24"/>
                            <a:gd name="gd26" fmla="?: gd3 21600 adj1"/>
                            <a:gd name="gd27" fmla="?: gd4 21600 gd26"/>
                            <a:gd name="gd28" fmla="?: gd6 21600 gd27"/>
                            <a:gd name="gd29" fmla="?: gd3 adj1 gd9"/>
                            <a:gd name="gd30" fmla="?: gd4 gd9 gd29"/>
                            <a:gd name="gd31" fmla="?: gd5 gd9 gd30"/>
                            <a:gd name="gd32" fmla="?: gd3 adj1 0"/>
                            <a:gd name="gd33" fmla="?: gd4 gd32 0"/>
                            <a:gd name="gd34" fmla="?: adj1 0 gd33"/>
                            <a:gd name="gd35" fmla="val adj0"/>
                            <a:gd name="gd36" fmla="val adj1"/>
                            <a:gd name="gd37" fmla="val 0"/>
                            <a:gd name="gd38" fmla="val 0"/>
                            <a:gd name="gd39" fmla="val 0"/>
                            <a:gd name="gd40" fmla="val gd9"/>
                            <a:gd name="gd41" fmla="val gd13"/>
                            <a:gd name="gd42" fmla="val gd25"/>
                            <a:gd name="gd43" fmla="val 0"/>
                            <a:gd name="gd44" fmla="val gd10"/>
                            <a:gd name="gd45" fmla="val 0"/>
                            <a:gd name="gd46" fmla="val 21600"/>
                            <a:gd name="gd47" fmla="val gd7"/>
                            <a:gd name="gd48" fmla="val 21600"/>
                            <a:gd name="gd49" fmla="val gd16"/>
                            <a:gd name="gd50" fmla="val gd28"/>
                            <a:gd name="gd51" fmla="val gd8"/>
                            <a:gd name="gd52" fmla="val 21600"/>
                            <a:gd name="gd53" fmla="val 21600"/>
                            <a:gd name="gd54" fmla="val 21600"/>
                            <a:gd name="gd55" fmla="val 21600"/>
                            <a:gd name="gd56" fmla="val gd10"/>
                            <a:gd name="gd57" fmla="val gd19"/>
                            <a:gd name="gd58" fmla="val gd31"/>
                            <a:gd name="gd59" fmla="val 21600"/>
                            <a:gd name="gd60" fmla="val gd9"/>
                            <a:gd name="gd61" fmla="val 21600"/>
                            <a:gd name="gd62" fmla="val 0"/>
                            <a:gd name="gd63" fmla="val gd8"/>
                            <a:gd name="gd64" fmla="val 0"/>
                            <a:gd name="gd65" fmla="val gd22"/>
                            <a:gd name="gd66" fmla="val gd34"/>
                            <a:gd name="gd67" fmla="val gd7"/>
                            <a:gd name="gd68" fmla="val 0"/>
                            <a:gd name="gd69" fmla="*/ w adj0 21600"/>
                            <a:gd name="gd70" fmla="*/ h adj1 21600"/>
                          </a:gdLst>
                          <a:ahLst>
                            <a:ahXY gdRefX="adj0" minX="-21474836" maxX="21474836" gdRefY="adj1" minY="-21474836" maxY="21474836">
                              <a:pos x="gd69" y="gd70"/>
                            </a:ahXY>
                          </a:ahLst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37" y="gd38"/>
                              </a:move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报表选择区</w:t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5" o:spid="_x0000_s15" style="position:absolute;z-index:524288;o:allowoverlap:true;o:allowincell:true;mso-position-horizontal-relative:text;margin-left:163.35pt;mso-position-horizontal:absolute;mso-position-vertical-relative:text;margin-top:150.50pt;mso-position-vertical:absolute;width:126.00pt;height:23.40pt;mso-wrap-distance-left:9.00pt;mso-wrap-distance-top:0.00pt;mso-wrap-distance-right:9.00pt;mso-wrap-distance-bottom:0.00pt;visibility:visible;" path="m0,0l0,16667l0,16667l0,41667l0,100000l58333,100000l58333,100000l83333,100000l100000,100000l100000,41667l100000,16667l100000,16667l100000,0l83333,0l50157,-185254l58333,0xe" coordsize="100000,100000" fillcolor="#FFFFFF" strokecolor="#000000">
                <v:path textboxrect="0,0,0,0"/>
                <v:textbox inset="0,0,0,0">
                  <w:txbxContent>
                    <w:p>
                      <w:pPr>
                        <w:pStyle w:val="668"/>
                        <w:pBdr/>
                        <w:spacing/>
                        <w:ind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报表选择区</w:t>
                      </w:r>
                      <w:r>
                        <w:rPr>
                          <w:rFonts w:hint="eastAsia"/>
                        </w:rPr>
                      </w:r>
                    </w:p>
                    <w:p>
                      <w:pPr>
                        <w:pStyle w:val="668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1614170</wp:posOffset>
                </wp:positionV>
                <wp:extent cx="1600200" cy="297180"/>
                <wp:effectExtent l="0" t="0" r="0" b="0"/>
                <wp:wrapNone/>
                <wp:docPr id="17" name="_x0000_s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00200" cy="297180"/>
                        </a:xfrm>
                        <a:custGeom>
                          <a:avLst>
                            <a:gd name="adj0" fmla="val 10834"/>
                            <a:gd name="adj1" fmla="val -40015"/>
                          </a:avLst>
                          <a:gdLst>
                            <a:gd name="gd0" fmla="val 65536"/>
                            <a:gd name="gd1" fmla="+- 10800 0 adj0"/>
                            <a:gd name="gd2" fmla="+- 10800 0 adj1"/>
                            <a:gd name="gd3" fmla="+- adj0 0 adj1"/>
                            <a:gd name="gd4" fmla="+- gd1 gd2 0"/>
                            <a:gd name="gd5" fmla="+- 21600 0 adj0"/>
                            <a:gd name="gd6" fmla="+- 21600 0 adj1"/>
                            <a:gd name="gd7" fmla="?: gd1 3600 12600"/>
                            <a:gd name="gd8" fmla="?: gd1 9000 18000"/>
                            <a:gd name="gd9" fmla="?: gd2 3600 12600"/>
                            <a:gd name="gd10" fmla="?: gd2 9000 18000"/>
                            <a:gd name="gd11" fmla="?: gd3 0 adj0"/>
                            <a:gd name="gd12" fmla="?: gd4 gd11 0"/>
                            <a:gd name="gd13" fmla="?: adj0 0 gd12"/>
                            <a:gd name="gd14" fmla="?: gd3 gd7 adj0"/>
                            <a:gd name="gd15" fmla="?: gd4 gd7 gd14"/>
                            <a:gd name="gd16" fmla="?: gd6 gd7 gd15"/>
                            <a:gd name="gd17" fmla="?: gd3 adj0 21600"/>
                            <a:gd name="gd18" fmla="?: gd4 21600 gd17"/>
                            <a:gd name="gd19" fmla="?: gd5 21600 gd18"/>
                            <a:gd name="gd20" fmla="?: gd3 adj0 gd7"/>
                            <a:gd name="gd21" fmla="?: gd4 gd20 gd7"/>
                            <a:gd name="gd22" fmla="?: adj1 gd7 gd21"/>
                            <a:gd name="gd23" fmla="?: gd3 gd9 adj1"/>
                            <a:gd name="gd24" fmla="?: gd4 gd23 gd9"/>
                            <a:gd name="gd25" fmla="?: adj0 gd9 gd24"/>
                            <a:gd name="gd26" fmla="?: gd3 21600 adj1"/>
                            <a:gd name="gd27" fmla="?: gd4 21600 gd26"/>
                            <a:gd name="gd28" fmla="?: gd6 21600 gd27"/>
                            <a:gd name="gd29" fmla="?: gd3 adj1 gd9"/>
                            <a:gd name="gd30" fmla="?: gd4 gd9 gd29"/>
                            <a:gd name="gd31" fmla="?: gd5 gd9 gd30"/>
                            <a:gd name="gd32" fmla="?: gd3 adj1 0"/>
                            <a:gd name="gd33" fmla="?: gd4 gd32 0"/>
                            <a:gd name="gd34" fmla="?: adj1 0 gd33"/>
                            <a:gd name="gd35" fmla="val adj0"/>
                            <a:gd name="gd36" fmla="val adj1"/>
                            <a:gd name="gd37" fmla="val 0"/>
                            <a:gd name="gd38" fmla="val 0"/>
                            <a:gd name="gd39" fmla="val 0"/>
                            <a:gd name="gd40" fmla="val gd9"/>
                            <a:gd name="gd41" fmla="val gd13"/>
                            <a:gd name="gd42" fmla="val gd25"/>
                            <a:gd name="gd43" fmla="val 0"/>
                            <a:gd name="gd44" fmla="val gd10"/>
                            <a:gd name="gd45" fmla="val 0"/>
                            <a:gd name="gd46" fmla="val 21600"/>
                            <a:gd name="gd47" fmla="val gd7"/>
                            <a:gd name="gd48" fmla="val 21600"/>
                            <a:gd name="gd49" fmla="val gd16"/>
                            <a:gd name="gd50" fmla="val gd28"/>
                            <a:gd name="gd51" fmla="val gd8"/>
                            <a:gd name="gd52" fmla="val 21600"/>
                            <a:gd name="gd53" fmla="val 21600"/>
                            <a:gd name="gd54" fmla="val 21600"/>
                            <a:gd name="gd55" fmla="val 21600"/>
                            <a:gd name="gd56" fmla="val gd10"/>
                            <a:gd name="gd57" fmla="val gd19"/>
                            <a:gd name="gd58" fmla="val gd31"/>
                            <a:gd name="gd59" fmla="val 21600"/>
                            <a:gd name="gd60" fmla="val gd9"/>
                            <a:gd name="gd61" fmla="val 21600"/>
                            <a:gd name="gd62" fmla="val 0"/>
                            <a:gd name="gd63" fmla="val gd8"/>
                            <a:gd name="gd64" fmla="val 0"/>
                            <a:gd name="gd65" fmla="val gd22"/>
                            <a:gd name="gd66" fmla="val gd34"/>
                            <a:gd name="gd67" fmla="val gd7"/>
                            <a:gd name="gd68" fmla="val 0"/>
                            <a:gd name="gd69" fmla="*/ w adj0 21600"/>
                            <a:gd name="gd70" fmla="*/ h adj1 21600"/>
                          </a:gdLst>
                          <a:ahLst>
                            <a:ahXY gdRefX="adj0" minX="-21474836" maxX="21474836" gdRefY="adj1" minY="-21474836" maxY="21474836">
                              <a:pos x="gd69" y="gd70"/>
                            </a:ahXY>
                          </a:ahLst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37" y="gd38"/>
                              </a:move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单位选择区</w:t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  <w:p>
                            <w:pPr>
                              <w:pStyle w:val="668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" o:spid="_x0000_s16" style="position:absolute;z-index:251658242;o:allowoverlap:true;o:allowincell:true;mso-position-horizontal-relative:text;margin-left:4.75pt;mso-position-horizontal:absolute;mso-position-vertical-relative:text;margin-top:127.10pt;mso-position-vertical:absolute;width:126.00pt;height:23.40pt;mso-wrap-distance-left:9.00pt;mso-wrap-distance-top:0.00pt;mso-wrap-distance-right:9.00pt;mso-wrap-distance-bottom:0.00pt;visibility:visible;" path="m0,0l0,16667l0,16667l0,41667l0,100000l58333,100000l58333,100000l83333,100000l100000,100000l100000,41667l100000,16667l100000,16667l100000,0l83333,0l50157,-185254l58333,0xe" coordsize="100000,100000" fillcolor="#FFFFFF" strokecolor="#000000">
                <v:path textboxrect="0,0,0,0"/>
                <v:textbox inset="0,0,0,0">
                  <w:txbxContent>
                    <w:p>
                      <w:pPr>
                        <w:pStyle w:val="668"/>
                        <w:pBdr/>
                        <w:spacing/>
                        <w:ind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单位选择区</w:t>
                      </w:r>
                      <w:r>
                        <w:rPr>
                          <w:rFonts w:hint="eastAsia"/>
                        </w:rPr>
                      </w:r>
                    </w:p>
                    <w:p>
                      <w:pPr>
                        <w:pStyle w:val="668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1155" cy="2588895"/>
                <wp:effectExtent l="0" t="0" r="0" b="0"/>
                <wp:docPr id="18" name="_x0000_i17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481155" cy="2588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431.59pt;height:203.85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>
        <w:rPr>
          <w:rFonts w:ascii="宋体" w:hAnsi="宋体"/>
        </w:rPr>
      </w:r>
      <w:r>
        <w:rPr>
          <w:rFonts w:ascii="宋体" w:hAnsi="宋体"/>
        </w:rPr>
      </w:r>
    </w:p>
    <w:p>
      <w:pPr>
        <w:pStyle w:val="671"/>
        <w:numPr>
          <w:ilvl w:val="2"/>
          <w:numId w:val="9"/>
        </w:numPr>
        <w:pBdr/>
        <w:spacing w:line="360" w:lineRule="auto"/>
        <w:ind/>
        <w:rPr>
          <w:rFonts w:hint="eastAsia" w:ascii="宋体" w:hAnsi="宋体"/>
        </w:rPr>
      </w:pPr>
      <w:r/>
      <w:bookmarkEnd w:id="55"/>
      <w:r>
        <w:rPr>
          <w:rFonts w:hint="eastAsia" w:ascii="宋体" w:hAnsi="宋体"/>
        </w:rPr>
        <w:t xml:space="preserve">打印功能</w:t>
      </w:r>
      <w:bookmarkEnd w:id="56"/>
      <w:r/>
      <w:bookmarkEnd w:id="57"/>
      <w:r>
        <w:rPr>
          <w:rFonts w:hint="eastAsia" w:ascii="宋体" w:hAnsi="宋体"/>
        </w:rPr>
      </w:r>
      <w:r>
        <w:rPr>
          <w:rFonts w:hint="eastAsia" w:ascii="宋体" w:hAnsi="宋体"/>
        </w:rPr>
      </w:r>
    </w:p>
    <w:p>
      <w:pPr>
        <w:pStyle w:val="668"/>
        <w:pBdr/>
        <w:spacing/>
        <w:ind w:firstLine="42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打印功能和导出相似，可以通过两种方法实现打印。</w:t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方法一：通过填报功能中【打印】按钮，点开打印预览界面进行打印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方法二：通过点击菜单栏【报表打印】对报表进行批量打印</w:t>
      </w:r>
      <w:r>
        <w:rPr>
          <w:rFonts w:hint="eastAsia" w:ascii="宋体" w:hAnsi="宋体"/>
          <w:sz w:val="28"/>
          <w:szCs w:val="28"/>
        </w:rPr>
        <w:t xml:space="preserve">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 w:line="360" w:lineRule="auto"/>
        <w:ind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注：第一次使用打印功时，会弹出提示安装打印控件，请不要阻止，点击安装，</w:t>
      </w:r>
      <w:r>
        <w:rPr>
          <w:rFonts w:hint="eastAsia" w:ascii="仿宋_GB2312" w:hAnsi="仿宋" w:eastAsia="仿宋_GB2312"/>
          <w:sz w:val="28"/>
          <w:szCs w:val="28"/>
        </w:rPr>
        <w:t xml:space="preserve">安装完成后</w:t>
      </w:r>
      <w:r>
        <w:rPr>
          <w:rFonts w:hint="eastAsia" w:ascii="仿宋_GB2312" w:hAnsi="仿宋" w:eastAsia="仿宋_GB2312"/>
          <w:sz w:val="28"/>
          <w:szCs w:val="28"/>
        </w:rPr>
        <w:t xml:space="preserve">重启浏览器即可</w:t>
      </w:r>
      <w:r>
        <w:rPr>
          <w:rFonts w:hint="eastAsia" w:ascii="仿宋_GB2312" w:hAnsi="仿宋" w:eastAsia="仿宋_GB2312"/>
          <w:sz w:val="28"/>
          <w:szCs w:val="28"/>
        </w:rPr>
        <w:t xml:space="preserve">。</w:t>
      </w:r>
      <w:r>
        <w:rPr>
          <w:rFonts w:hint="eastAsia" w:ascii="仿宋_GB2312" w:hAnsi="仿宋" w:eastAsia="仿宋_GB2312"/>
          <w:sz w:val="28"/>
          <w:szCs w:val="28"/>
        </w:rPr>
      </w:r>
      <w:r>
        <w:rPr>
          <w:rFonts w:hint="eastAsia" w:ascii="仿宋_GB2312" w:hAnsi="仿宋" w:eastAsia="仿宋_GB2312"/>
          <w:sz w:val="28"/>
          <w:szCs w:val="28"/>
        </w:rPr>
      </w:r>
    </w:p>
    <w:p>
      <w:pPr>
        <w:pStyle w:val="669"/>
        <w:numPr>
          <w:ilvl w:val="0"/>
          <w:numId w:val="9"/>
        </w:numPr>
        <w:pBdr/>
        <w:spacing w:after="312" w:before="312" w:line="360" w:lineRule="auto"/>
        <w:ind w:firstLine="0" w:left="0"/>
        <w:rPr>
          <w:rFonts w:hint="eastAsia" w:ascii="宋体" w:hAnsi="宋体"/>
          <w:sz w:val="52"/>
          <w:szCs w:val="52"/>
        </w:rPr>
      </w:pPr>
      <w:r>
        <w:rPr>
          <w:rFonts w:hint="eastAsia" w:ascii="宋体" w:hAnsi="宋体"/>
          <w:sz w:val="52"/>
          <w:szCs w:val="52"/>
        </w:rPr>
        <w:t xml:space="preserve">技术支持服务电话</w:t>
      </w:r>
      <w:r>
        <w:rPr>
          <w:rFonts w:hint="eastAsia" w:ascii="宋体" w:hAnsi="宋体"/>
          <w:sz w:val="52"/>
          <w:szCs w:val="52"/>
        </w:rPr>
      </w:r>
      <w:r>
        <w:rPr>
          <w:rFonts w:hint="eastAsia" w:ascii="宋体" w:hAnsi="宋体"/>
          <w:sz w:val="52"/>
          <w:szCs w:val="52"/>
        </w:rPr>
      </w:r>
    </w:p>
    <w:p>
      <w:pPr>
        <w:pStyle w:val="668"/>
        <w:pBdr/>
        <w:spacing/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久其软件为本系统提供技术支持服务，</w:t>
      </w:r>
      <w:r>
        <w:rPr>
          <w:rFonts w:hint="eastAsia" w:ascii="宋体" w:hAnsi="宋体"/>
          <w:sz w:val="28"/>
          <w:szCs w:val="28"/>
        </w:rPr>
        <w:t xml:space="preserve">各级单位在填报过程中，遇到任何技术问题，都可以拨打技术支持热线寻求帮助。</w:t>
      </w:r>
      <w:r>
        <w:rPr>
          <w:rFonts w:hint="eastAsia" w:ascii="宋体" w:hAnsi="宋体"/>
          <w:sz w:val="28"/>
          <w:szCs w:val="28"/>
        </w:rPr>
      </w:r>
      <w:r>
        <w:rPr>
          <w:rFonts w:hint="eastAsia" w:ascii="宋体" w:hAnsi="宋体"/>
          <w:sz w:val="28"/>
          <w:szCs w:val="28"/>
        </w:rPr>
      </w:r>
    </w:p>
    <w:p>
      <w:pPr>
        <w:pStyle w:val="668"/>
        <w:pBdr/>
        <w:spacing/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久其软件技术支持服务电话：400-119-9797 转 8</w:t>
      </w:r>
      <w:r>
        <w:rPr>
          <w:rFonts w:hint="eastAsia" w:ascii="宋体" w:hAnsi="宋体"/>
          <w:sz w:val="28"/>
          <w:szCs w:val="28"/>
        </w:rPr>
      </w:r>
    </w:p>
    <w:sectPr>
      <w:footerReference w:type="default" r:id="rId9"/>
      <w:footerReference w:type="even" r:id="rId10"/>
      <w:footnotePr/>
      <w:endnotePr/>
      <w:type w:val="nextPage"/>
      <w:pgSz w:h="16838" w:orient="landscape" w:w="11906"/>
      <w:pgMar w:top="1440" w:right="1466" w:bottom="1440" w:left="1800" w:header="851" w:footer="992" w:gutter="0"/>
      <w:cols w:num="1" w:sep="0" w:space="720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_GB2312">
    <w:panose1 w:val="02010609030101010101"/>
  </w:font>
  <w:font w:name="Symbol">
    <w:panose1 w:val="05050102010706020507"/>
  </w:font>
  <w:font w:name="Wingdings">
    <w:panose1 w:val="05000000000000000000"/>
  </w:font>
  <w:font w:name="Cambria">
    <w:panose1 w:val="02040503050406030204"/>
  </w:font>
  <w:font w:name="仿宋">
    <w:panose1 w:val="02010609060101010101"/>
  </w:font>
  <w:font w:name="楷体_GB2312">
    <w:panose1 w:val="02010609030101010101"/>
  </w:font>
  <w:font w:name="黑体">
    <w:panose1 w:val="02010609060101010101"/>
  </w:font>
  <w:font w:name="Arial">
    <w:panose1 w:val="020B0604020202020204"/>
  </w:font>
  <w:font w:name="Calibri">
    <w:panose1 w:val="020F0502020204030204"/>
  </w:font>
  <w:font w:name="等线">
    <w:panose1 w:val="020B0604020202020204"/>
  </w:font>
  <w:font w:name="宋体">
    <w:panose1 w:val="02010600030101010101"/>
  </w:font>
  <w:font w:name="Courier New">
    <w:panose1 w:val="020703090202050204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pBdr/>
      <w:spacing/>
      <w:ind w:right="360"/>
      <w:jc w:val="center"/>
      <w:rPr>
        <w:rFonts w:hint="eastAsia"/>
      </w:rPr>
    </w:pPr>
    <w:r>
      <w:rPr>
        <w:szCs w:val="21"/>
      </w:rPr>
      <w:t xml:space="preserve">-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 xml:space="preserve">18</w:t>
    </w:r>
    <w:r>
      <w:rPr>
        <w:szCs w:val="21"/>
      </w:rPr>
      <w:fldChar w:fldCharType="end"/>
    </w:r>
    <w:r>
      <w:rPr>
        <w:szCs w:val="21"/>
      </w:rPr>
      <w:t xml:space="preserve"> -</w:t>
    </w:r>
    <w:r>
      <w:rPr>
        <w:rFonts w:hint="eastAsia"/>
      </w:rPr>
    </w:r>
    <w:r>
      <w:rPr>
        <w:rFonts w:hint="eastAsia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framePr w:hAnchor="margin" w:vAnchor="text" w:wrap="around" w:xAlign="center" w:y="1"/>
      <w:pBdr/>
      <w:spacing/>
      <w:ind/>
      <w:rPr>
        <w:rStyle w:val="683"/>
      </w:rPr>
    </w:pPr>
    <w:r>
      <w:fldChar w:fldCharType="begin"/>
    </w:r>
    <w:r>
      <w:rPr>
        <w:rStyle w:val="683"/>
      </w:rPr>
      <w:instrText xml:space="preserve">PAGE  </w:instrText>
    </w:r>
    <w:r>
      <w:fldChar w:fldCharType="end"/>
    </w:r>
    <w:r>
      <w:rPr>
        <w:rStyle w:val="683"/>
      </w:rPr>
    </w:r>
    <w:r>
      <w:rPr>
        <w:rStyle w:val="683"/>
      </w:rPr>
    </w:r>
  </w:p>
  <w:p>
    <w:pPr>
      <w:pStyle w:val="697"/>
      <w:pBdr/>
      <w:spacing/>
      <w:ind w:right="360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firstLine="567" w:left="284"/>
      </w:pPr>
      <w:rPr>
        <w:rFonts w:hint="eastAsia"/>
      </w:rPr>
      <w:start w:val="1"/>
      <w:suff w:val="space"/>
    </w:lvl>
    <w:lvl w:ilvl="1">
      <w:isLgl w:val="false"/>
      <w:lvlJc w:val="left"/>
      <w:lvlText w:val=" %1.%2."/>
      <w:numFmt w:val="decimal"/>
      <w:pPr>
        <w:pBdr/>
        <w:spacing/>
        <w:ind w:hanging="425" w:left="538"/>
      </w:pPr>
      <w:rPr>
        <w:rFonts w:hint="eastAsia"/>
      </w:rPr>
      <w:start w:val="1"/>
      <w:suff w:val="space"/>
    </w:lvl>
    <w:lvl w:ilvl="2">
      <w:isLgl w:val="false"/>
      <w:lvlJc w:val="left"/>
      <w:lvlText w:val="  %1.%2.%3."/>
      <w:numFmt w:val="decimal"/>
      <w:pPr>
        <w:pBdr/>
        <w:spacing/>
        <w:ind w:hanging="425" w:left="651"/>
      </w:pPr>
      <w:rPr>
        <w:rFonts w:hint="eastAsia"/>
      </w:rPr>
      <w:start w:val="1"/>
      <w:suff w:val="space"/>
    </w:lvl>
    <w:lvl w:ilvl="3">
      <w:isLgl w:val="false"/>
      <w:lvlJc w:val="left"/>
      <w:lvlText w:val="   %1.%2.%3.%4"/>
      <w:numFmt w:val="decimal"/>
      <w:pPr>
        <w:pBdr/>
        <w:spacing/>
        <w:ind w:hanging="425" w:left="764"/>
      </w:pPr>
      <w:rPr>
        <w:rFonts w:hint="eastAsia"/>
      </w:rPr>
      <w:start w:val="1"/>
      <w:suff w:val="space"/>
    </w:lvl>
    <w:lvl w:ilvl="4">
      <w:isLgl w:val="false"/>
      <w:lvlJc w:val="left"/>
      <w:lvlText w:val="   %1.%2.%3.%4.%5"/>
      <w:numFmt w:val="decimal"/>
      <w:pPr>
        <w:pBdr/>
        <w:spacing/>
        <w:ind w:hanging="425" w:left="877"/>
      </w:pPr>
      <w:rPr>
        <w:rFonts w:hint="eastAsia"/>
      </w:rPr>
      <w:start w:val="1"/>
      <w:suff w:val="space"/>
    </w:lvl>
    <w:lvl w:ilvl="5">
      <w:isLgl w:val="false"/>
      <w:lvlJc w:val="left"/>
      <w:lvlText w:val="   %1.%2.%3.%4.%5.%6."/>
      <w:numFmt w:val="decimal"/>
      <w:pPr>
        <w:pBdr/>
        <w:spacing/>
        <w:ind w:hanging="425" w:left="990"/>
      </w:pPr>
      <w:rPr>
        <w:rFonts w:hint="eastAsia"/>
      </w:rPr>
      <w:start w:val="1"/>
      <w:suff w:val="space"/>
    </w:lvl>
    <w:lvl w:ilvl="6">
      <w:isLgl w:val="false"/>
      <w:lvlJc w:val="left"/>
      <w:lvlText w:val="   %1.%2.%3.%4.%5.%6.%7."/>
      <w:numFmt w:val="decimal"/>
      <w:pPr>
        <w:pBdr/>
        <w:spacing/>
        <w:ind w:hanging="425" w:left="1103"/>
      </w:pPr>
      <w:rPr>
        <w:rFonts w:hint="eastAsia"/>
      </w:rPr>
      <w:start w:val="1"/>
      <w:suff w:val="space"/>
    </w:lvl>
    <w:lvl w:ilvl="7">
      <w:isLgl w:val="false"/>
      <w:lvlJc w:val="left"/>
      <w:lvlText w:val="   %1.%2.%3.%4.%5.%6.%7.%8."/>
      <w:numFmt w:val="decimal"/>
      <w:pPr>
        <w:pBdr/>
        <w:spacing/>
        <w:ind w:hanging="425" w:left="1216"/>
      </w:pPr>
      <w:rPr>
        <w:rFonts w:hint="eastAsia"/>
      </w:rPr>
      <w:start w:val="1"/>
      <w:suff w:val="space"/>
    </w:lvl>
    <w:lvl w:ilvl="8">
      <w:isLgl w:val="false"/>
      <w:lvlJc w:val="left"/>
      <w:lvlText w:val="   %1.%2.%3.%4.%5.%6.%7.%8.%9."/>
      <w:numFmt w:val="decimal"/>
      <w:pPr>
        <w:pBdr/>
        <w:spacing/>
        <w:ind w:hanging="425" w:left="1329"/>
      </w:pPr>
      <w:rPr>
        <w:rFonts w:hint="eastAsia"/>
      </w:rPr>
      <w:start w:val="1"/>
      <w:suff w:val="space"/>
    </w:lvl>
  </w:abstractNum>
  <w:abstractNum w:abstractNumId="1">
    <w:lvl w:ilvl="0">
      <w:isLgl w:val="false"/>
      <w:lvlJc w:val="left"/>
      <w:lvlText w:val=""/>
      <w:numFmt w:val="bullet"/>
      <w:pPr>
        <w:pBdr/>
        <w:tabs>
          <w:tab w:val="num" w:leader="none" w:pos="960"/>
        </w:tabs>
        <w:spacing/>
        <w:ind w:hanging="420" w:left="96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"/>
      <w:numFmt w:val="bullet"/>
      <w:pPr>
        <w:pBdr/>
        <w:tabs>
          <w:tab w:val="num" w:leader="none" w:pos="1380"/>
        </w:tabs>
        <w:spacing/>
        <w:ind w:hanging="420" w:left="138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800"/>
        </w:tabs>
        <w:spacing/>
        <w:ind w:hanging="420" w:left="180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2220"/>
        </w:tabs>
        <w:spacing/>
        <w:ind w:hanging="420" w:left="222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640"/>
        </w:tabs>
        <w:spacing/>
        <w:ind w:hanging="420" w:left="264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3060"/>
        </w:tabs>
        <w:spacing/>
        <w:ind w:hanging="420" w:left="306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3480"/>
        </w:tabs>
        <w:spacing/>
        <w:ind w:hanging="420" w:left="348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900"/>
        </w:tabs>
        <w:spacing/>
        <w:ind w:hanging="420" w:left="390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4320"/>
        </w:tabs>
        <w:spacing/>
        <w:ind w:hanging="420" w:left="4320"/>
      </w:pPr>
      <w:rPr>
        <w:rFonts w:ascii="Wingdings" w:hAnsi="Wingdings"/>
      </w:rPr>
      <w:start w:val="1"/>
      <w:suff w:val="space"/>
    </w:lvl>
  </w:abstractNum>
  <w:abstractNum w:abstractNumId="2">
    <w:lvl w:ilvl="0">
      <w:isLgl w:val="false"/>
      <w:lvlJc w:val="left"/>
      <w:lvlText w:val="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3">
    <w:lvl w:ilvl="0">
      <w:isLgl w:val="false"/>
      <w:lvlJc w:val="left"/>
      <w:lvlText w:val=""/>
      <w:numFmt w:val="bullet"/>
      <w:pPr>
        <w:pBdr/>
        <w:tabs>
          <w:tab w:val="num" w:leader="none" w:pos="908"/>
        </w:tabs>
        <w:spacing/>
        <w:ind w:hanging="420" w:left="908"/>
      </w:pPr>
      <w:pStyle w:val="707"/>
      <w:rPr>
        <w:rFonts w:ascii="Wingdings" w:hAnsi="Wingdings"/>
        <w:vertAlign w:val="baseline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4">
    <w:lvl w:ilvl="0">
      <w:isLgl w:val="false"/>
      <w:lvlJc w:val="left"/>
      <w:lvlText w:val=""/>
      <w:numFmt w:val="bullet"/>
      <w:pPr>
        <w:pBdr/>
        <w:tabs>
          <w:tab w:val="num" w:leader="none" w:pos="420"/>
        </w:tabs>
        <w:spacing/>
        <w:ind w:hanging="420" w:left="42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5">
    <w:lvl w:ilvl="0">
      <w:isLgl w:val="false"/>
      <w:lvlJc w:val="left"/>
      <w:lvlText w:val="第%1章"/>
      <w:numFmt w:val="decimal"/>
      <w:pPr>
        <w:pBdr/>
        <w:spacing/>
        <w:ind/>
      </w:pPr>
      <w:rPr/>
      <w:start w:val="3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/>
      </w:pPr>
      <w:rPr/>
      <w:start w:val="1"/>
      <w:suff w:val="nothing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7">
    <w:lvl w:ilvl="0">
      <w:isLgl w:val="false"/>
      <w:lvlJc w:val="left"/>
      <w:lvlText w:val="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tabs>
          <w:tab w:val="num" w:leader="none" w:pos="840"/>
        </w:tabs>
        <w:spacing/>
        <w:ind w:hanging="420" w:left="84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tabs>
          <w:tab w:val="num" w:leader="none" w:pos="1260"/>
        </w:tabs>
        <w:spacing/>
        <w:ind w:hanging="420" w:left="12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tabs>
          <w:tab w:val="num" w:leader="none" w:pos="1680"/>
        </w:tabs>
        <w:spacing/>
        <w:ind w:hanging="420" w:left="168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tabs>
          <w:tab w:val="num" w:leader="none" w:pos="2100"/>
        </w:tabs>
        <w:spacing/>
        <w:ind w:hanging="420" w:left="210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tabs>
          <w:tab w:val="num" w:leader="none" w:pos="2520"/>
        </w:tabs>
        <w:spacing/>
        <w:ind w:hanging="420" w:left="25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tabs>
          <w:tab w:val="num" w:leader="none" w:pos="2940"/>
        </w:tabs>
        <w:spacing/>
        <w:ind w:hanging="420" w:left="294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tabs>
          <w:tab w:val="num" w:leader="none" w:pos="3360"/>
        </w:tabs>
        <w:spacing/>
        <w:ind w:hanging="420" w:left="336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tabs>
          <w:tab w:val="num" w:leader="none" w:pos="3780"/>
        </w:tabs>
        <w:spacing/>
        <w:ind w:hanging="420" w:left="3780"/>
      </w:pPr>
      <w:rPr>
        <w:rFonts w:ascii="Wingdings" w:hAnsi="Wingdings"/>
      </w:rPr>
      <w:start w:val="1"/>
      <w:suff w:val="space"/>
    </w:lvl>
  </w:abstractNum>
  <w:abstractNum w:abstractNumId="8">
    <w:lvl w:ilvl="0">
      <w:isLgl w:val="false"/>
      <w:lvlJc w:val="left"/>
      <w:lvlText w:val=""/>
      <w:numFmt w:val="bullet"/>
      <w:pPr>
        <w:pBdr/>
        <w:spacing/>
        <w:ind w:hanging="420" w:left="840"/>
      </w:pPr>
      <w:pStyle w:val="708"/>
      <w:rPr>
        <w:rFonts w:ascii="Wingdings" w:hAnsi="Wingdings"/>
        <w:sz w:val="30"/>
      </w:rPr>
      <w:start w:val="1"/>
      <w:suff w:val="space"/>
    </w:lvl>
    <w:lvl w:ilvl="1">
      <w:isLgl w:val="false"/>
      <w:lvlJc w:val="left"/>
      <w:lvlText w:val=""/>
      <w:numFmt w:val="bullet"/>
      <w:pPr>
        <w:pBdr/>
        <w:spacing/>
        <w:ind w:hanging="420" w:left="1260"/>
      </w:pPr>
      <w:rPr>
        <w:rFonts w:ascii="Wingdings" w:hAnsi="Wingdings"/>
      </w:rPr>
      <w:start w:val="1"/>
      <w:suff w:val="space"/>
    </w:lvl>
    <w:lvl w:ilvl="2">
      <w:isLgl w:val="false"/>
      <w:lvlJc w:val="left"/>
      <w:lvlText w:val=""/>
      <w:numFmt w:val="bullet"/>
      <w:pPr>
        <w:pBdr/>
        <w:spacing/>
        <w:ind w:hanging="420" w:left="168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"/>
      <w:numFmt w:val="bullet"/>
      <w:pPr>
        <w:pBdr/>
        <w:spacing/>
        <w:ind w:hanging="420" w:left="2100"/>
      </w:pPr>
      <w:rPr>
        <w:rFonts w:ascii="Wingdings" w:hAnsi="Wingdings"/>
      </w:rPr>
      <w:start w:val="1"/>
      <w:suff w:val="space"/>
    </w:lvl>
    <w:lvl w:ilvl="4">
      <w:isLgl w:val="false"/>
      <w:lvlJc w:val="left"/>
      <w:lvlText w:val=""/>
      <w:numFmt w:val="bullet"/>
      <w:pPr>
        <w:pBdr/>
        <w:spacing/>
        <w:ind w:hanging="420" w:left="2520"/>
      </w:pPr>
      <w:rPr>
        <w:rFonts w:ascii="Wingdings" w:hAnsi="Wingdings"/>
      </w:rPr>
      <w:start w:val="1"/>
      <w:suff w:val="space"/>
    </w:lvl>
    <w:lvl w:ilvl="5">
      <w:isLgl w:val="false"/>
      <w:lvlJc w:val="left"/>
      <w:lvlText w:val=""/>
      <w:numFmt w:val="bullet"/>
      <w:pPr>
        <w:pBdr/>
        <w:spacing/>
        <w:ind w:hanging="420" w:left="294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"/>
      <w:numFmt w:val="bullet"/>
      <w:pPr>
        <w:pBdr/>
        <w:spacing/>
        <w:ind w:hanging="420" w:left="3360"/>
      </w:pPr>
      <w:rPr>
        <w:rFonts w:ascii="Wingdings" w:hAnsi="Wingdings"/>
      </w:rPr>
      <w:start w:val="1"/>
      <w:suff w:val="space"/>
    </w:lvl>
    <w:lvl w:ilvl="7">
      <w:isLgl w:val="false"/>
      <w:lvlJc w:val="left"/>
      <w:lvlText w:val=""/>
      <w:numFmt w:val="bullet"/>
      <w:pPr>
        <w:pBdr/>
        <w:spacing/>
        <w:ind w:hanging="420" w:left="3780"/>
      </w:pPr>
      <w:rPr>
        <w:rFonts w:ascii="Wingdings" w:hAnsi="Wingdings"/>
      </w:rPr>
      <w:start w:val="1"/>
      <w:suff w:val="space"/>
    </w:lvl>
    <w:lvl w:ilvl="8">
      <w:isLgl w:val="false"/>
      <w:lvlJc w:val="left"/>
      <w:lvlText w:val=""/>
      <w:numFmt w:val="bullet"/>
      <w:pPr>
        <w:pBdr/>
        <w:spacing/>
        <w:ind w:hanging="420" w:left="4200"/>
      </w:pPr>
      <w:rPr>
        <w:rFonts w:ascii="Wingdings" w:hAnsi="Wingdings"/>
      </w:rPr>
      <w:start w:val="1"/>
      <w:suff w:val="space"/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splitPgBreakAndParaMark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宋体" w:cs="Times New Roman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8"/>
    <w:next w:val="668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等线" w:hAnsi="等线" w:eastAsia="等线" w:cs="等线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68"/>
    <w:next w:val="668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68"/>
    <w:next w:val="668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68"/>
    <w:next w:val="668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68"/>
    <w:next w:val="668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68"/>
    <w:next w:val="668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68"/>
    <w:next w:val="668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68"/>
    <w:next w:val="668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68"/>
    <w:next w:val="668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1">
    <w:name w:val="List Paragraph"/>
    <w:basedOn w:val="668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68"/>
    <w:next w:val="668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68"/>
    <w:next w:val="668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68"/>
    <w:next w:val="668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68"/>
    <w:next w:val="668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68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668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668"/>
    <w:next w:val="66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68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68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68"/>
    <w:next w:val="668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68"/>
    <w:next w:val="668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68"/>
    <w:next w:val="668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68"/>
    <w:next w:val="668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68"/>
    <w:next w:val="668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68"/>
    <w:next w:val="668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68"/>
    <w:next w:val="668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68"/>
    <w:next w:val="668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68"/>
    <w:next w:val="668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68"/>
    <w:next w:val="668"/>
    <w:uiPriority w:val="99"/>
    <w:unhideWhenUsed/>
    <w:pPr>
      <w:pBdr/>
      <w:spacing w:after="0" w:afterAutospacing="0"/>
      <w:ind/>
    </w:pPr>
  </w:style>
  <w:style w:type="paragraph" w:styleId="668" w:default="1">
    <w:name w:val="Normal"/>
    <w:next w:val="668"/>
    <w:link w:val="668"/>
    <w:qFormat/>
    <w:pPr>
      <w:widowControl w:val="false"/>
      <w:pBdr/>
      <w:spacing/>
      <w:ind/>
      <w:jc w:val="both"/>
    </w:pPr>
    <w:rPr>
      <w:sz w:val="21"/>
      <w:szCs w:val="24"/>
      <w:lang w:val="en-US" w:eastAsia="zh-CN" w:bidi="ar-SA"/>
    </w:rPr>
  </w:style>
  <w:style w:type="paragraph" w:styleId="669">
    <w:name w:val="标题 1,章标题(有序号),H1,Heading 0,PIM 1,Fab-1,h1,1.,Normal + Font: Helvetica,Bold,Space Before 12 pt,Not Bold,H11,H12,H13,H14,H15,H16,H17,H111,H121,H131,H141,H151,H161,H18,H112,H122,H132,H142,H152,H162,H19,H113,H123,H133,H143,H153,H163,H110,H114,H124,H134,H144"/>
    <w:basedOn w:val="668"/>
    <w:next w:val="668"/>
    <w:link w:val="709"/>
    <w:qFormat/>
    <w:pPr>
      <w:keepNext w:val="true"/>
      <w:keepLines w:val="true"/>
      <w:pBdr/>
      <w:spacing w:after="330" w:before="340" w:line="578" w:lineRule="auto"/>
      <w:ind/>
      <w:outlineLvl w:val="0"/>
    </w:pPr>
    <w:rPr>
      <w:b/>
      <w:bCs/>
      <w:sz w:val="44"/>
      <w:szCs w:val="44"/>
      <w:lang w:val="en-US" w:eastAsia="en-US"/>
    </w:rPr>
  </w:style>
  <w:style w:type="paragraph" w:styleId="670">
    <w:name w:val="标题 2,节标题,jq1标题 2,节,H2,sect 1.2,PIM2,Heading 2 Hidden,Heading 2 CCBS,heading 2,Titre3,HD2,H21,sect 1.21,H22,sect 1.22,H211,sect 1.211,H23,sect 1.23,H212,sect 1.212,Underrubrik1,prop2,h2,2nd level,2,Header 2,1.1标题 2,第一章 标题 2,ISO1,UNDERRUBRIK 1-2,l2,chn,A"/>
    <w:basedOn w:val="668"/>
    <w:next w:val="668"/>
    <w:link w:val="710"/>
    <w:qFormat/>
    <w:pPr>
      <w:keepNext w:val="true"/>
      <w:keepLines w:val="true"/>
      <w:pBdr/>
      <w:spacing w:after="260" w:before="260" w:line="416" w:lineRule="auto"/>
      <w:ind/>
      <w:outlineLvl w:val="1"/>
    </w:pPr>
    <w:rPr>
      <w:rFonts w:ascii="Arial" w:hAnsi="Arial" w:eastAsia="黑体"/>
      <w:b/>
      <w:bCs/>
      <w:sz w:val="32"/>
      <w:szCs w:val="32"/>
      <w:lang w:val="en-US" w:eastAsia="en-US"/>
    </w:rPr>
  </w:style>
  <w:style w:type="paragraph" w:styleId="671">
    <w:name w:val="标题 3,H3,h3,level_3,PIM 3,Level 3 Head,Heading 3 - old,sect1.2.3,sect1.2.31,sect1.2.32,sect1.2.311,sect1.2.33,sect1.2.312,Bold Head,bh,BOD 0,l3,3,PRTM Heading 3,CT,prop3,3heading,heading 3,Heading 31,3rd level,Title3,Map,H31,Titre C,Level 3 Topic Heading"/>
    <w:basedOn w:val="668"/>
    <w:next w:val="668"/>
    <w:link w:val="711"/>
    <w:qFormat/>
    <w:pPr>
      <w:keepNext w:val="true"/>
      <w:keepLines w:val="true"/>
      <w:pBdr/>
      <w:spacing w:after="260" w:before="260" w:line="416" w:lineRule="auto"/>
      <w:ind/>
      <w:outlineLvl w:val="2"/>
    </w:pPr>
    <w:rPr>
      <w:b/>
      <w:bCs/>
      <w:sz w:val="32"/>
      <w:szCs w:val="32"/>
      <w:lang w:val="en-US" w:eastAsia="en-US"/>
    </w:rPr>
  </w:style>
  <w:style w:type="paragraph" w:styleId="672">
    <w:name w:val="标题 4"/>
    <w:basedOn w:val="668"/>
    <w:next w:val="668"/>
    <w:link w:val="668"/>
    <w:qFormat/>
    <w:pPr>
      <w:keepNext w:val="true"/>
      <w:keepLines w:val="true"/>
      <w:pBdr/>
      <w:spacing w:after="290" w:before="280" w:line="376" w:lineRule="auto"/>
      <w:ind/>
      <w:outlineLvl w:val="3"/>
    </w:pPr>
    <w:rPr>
      <w:rFonts w:ascii="Arial" w:hAnsi="Arial" w:eastAsia="黑体"/>
      <w:b/>
      <w:bCs/>
      <w:sz w:val="28"/>
      <w:szCs w:val="28"/>
    </w:rPr>
  </w:style>
  <w:style w:type="paragraph" w:styleId="673">
    <w:name w:val="标题 5"/>
    <w:basedOn w:val="668"/>
    <w:next w:val="668"/>
    <w:link w:val="668"/>
    <w:qFormat/>
    <w:pPr>
      <w:keepNext w:val="true"/>
      <w:keepLines w:val="true"/>
      <w:pBdr/>
      <w:spacing w:after="290" w:before="280" w:line="376" w:lineRule="auto"/>
      <w:ind/>
      <w:outlineLvl w:val="4"/>
    </w:pPr>
    <w:rPr>
      <w:b/>
      <w:bCs/>
      <w:sz w:val="28"/>
      <w:szCs w:val="28"/>
    </w:rPr>
  </w:style>
  <w:style w:type="paragraph" w:styleId="674">
    <w:name w:val="标题 6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5"/>
    </w:pPr>
    <w:rPr>
      <w:rFonts w:ascii="Arial" w:hAnsi="Arial" w:eastAsia="黑体"/>
      <w:b/>
      <w:bCs/>
      <w:sz w:val="24"/>
    </w:rPr>
  </w:style>
  <w:style w:type="paragraph" w:styleId="675">
    <w:name w:val="标题 7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6"/>
    </w:pPr>
    <w:rPr>
      <w:b/>
      <w:bCs/>
      <w:sz w:val="24"/>
    </w:rPr>
  </w:style>
  <w:style w:type="paragraph" w:styleId="676">
    <w:name w:val="标题 8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7"/>
    </w:pPr>
    <w:rPr>
      <w:rFonts w:ascii="Arial" w:hAnsi="Arial" w:eastAsia="黑体"/>
      <w:sz w:val="24"/>
    </w:rPr>
  </w:style>
  <w:style w:type="paragraph" w:styleId="677">
    <w:name w:val="标题 9"/>
    <w:basedOn w:val="668"/>
    <w:next w:val="668"/>
    <w:link w:val="668"/>
    <w:qFormat/>
    <w:pPr>
      <w:keepNext w:val="true"/>
      <w:keepLines w:val="true"/>
      <w:pBdr/>
      <w:spacing w:after="64" w:before="240" w:line="320" w:lineRule="auto"/>
      <w:ind/>
      <w:outlineLvl w:val="8"/>
    </w:pPr>
    <w:rPr>
      <w:rFonts w:ascii="Arial" w:hAnsi="Arial" w:eastAsia="黑体"/>
      <w:szCs w:val="21"/>
    </w:rPr>
  </w:style>
  <w:style w:type="character" w:styleId="678">
    <w:name w:val="默认段落字体"/>
    <w:next w:val="678"/>
    <w:link w:val="668"/>
    <w:semiHidden/>
    <w:pPr>
      <w:pBdr/>
      <w:spacing/>
      <w:ind/>
    </w:pPr>
  </w:style>
  <w:style w:type="table" w:styleId="679">
    <w:name w:val="普通表格"/>
    <w:next w:val="679"/>
    <w:link w:val="668"/>
    <w:semiHidden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0">
    <w:name w:val="无列表"/>
    <w:next w:val="680"/>
    <w:link w:val="668"/>
    <w:uiPriority w:val="99"/>
    <w:semiHidden/>
    <w:unhideWhenUsed/>
    <w:pPr>
      <w:pBdr/>
      <w:spacing/>
      <w:ind/>
    </w:pPr>
  </w:style>
  <w:style w:type="character" w:styleId="681">
    <w:name w:val="批注引用"/>
    <w:next w:val="681"/>
    <w:link w:val="668"/>
    <w:semiHidden/>
    <w:pPr>
      <w:pBdr/>
      <w:spacing/>
      <w:ind/>
    </w:pPr>
    <w:rPr>
      <w:sz w:val="21"/>
      <w:szCs w:val="21"/>
    </w:rPr>
  </w:style>
  <w:style w:type="character" w:styleId="682">
    <w:name w:val="访问过的超链接"/>
    <w:next w:val="682"/>
    <w:link w:val="668"/>
    <w:pPr>
      <w:pBdr/>
      <w:spacing/>
      <w:ind/>
    </w:pPr>
    <w:rPr>
      <w:color w:val="800080"/>
      <w:u w:val="single"/>
    </w:rPr>
  </w:style>
  <w:style w:type="character" w:styleId="683">
    <w:name w:val="页码"/>
    <w:basedOn w:val="678"/>
    <w:next w:val="683"/>
    <w:link w:val="668"/>
    <w:pPr>
      <w:pBdr/>
      <w:spacing/>
      <w:ind/>
    </w:pPr>
  </w:style>
  <w:style w:type="character" w:styleId="684">
    <w:name w:val="超链接"/>
    <w:next w:val="684"/>
    <w:link w:val="668"/>
    <w:uiPriority w:val="99"/>
    <w:pPr>
      <w:pBdr/>
      <w:spacing/>
      <w:ind/>
    </w:pPr>
    <w:rPr>
      <w:color w:val="0000ff"/>
      <w:u w:val="single"/>
    </w:rPr>
  </w:style>
  <w:style w:type="character" w:styleId="685">
    <w:name w:val="jq3按钮"/>
    <w:next w:val="685"/>
    <w:link w:val="668"/>
    <w:qFormat/>
    <w:pPr>
      <w:pBdr/>
      <w:spacing/>
      <w:ind/>
    </w:pPr>
    <w:rPr>
      <w:rFonts w:eastAsia="宋体"/>
      <w:sz w:val="21"/>
      <w:szCs w:val="21"/>
      <w:shd w:val="clear" w:color="auto" w:fill="cccccc"/>
    </w:rPr>
  </w:style>
  <w:style w:type="paragraph" w:styleId="686">
    <w:name w:val="目录 2"/>
    <w:basedOn w:val="668"/>
    <w:next w:val="668"/>
    <w:link w:val="668"/>
    <w:uiPriority w:val="39"/>
    <w:pPr>
      <w:pBdr/>
      <w:spacing/>
      <w:ind w:left="420"/>
    </w:pPr>
    <w:rPr>
      <w:b/>
    </w:rPr>
  </w:style>
  <w:style w:type="paragraph" w:styleId="687">
    <w:name w:val="目录 8"/>
    <w:basedOn w:val="668"/>
    <w:next w:val="668"/>
    <w:link w:val="668"/>
    <w:semiHidden/>
    <w:pPr>
      <w:pBdr/>
      <w:spacing/>
      <w:ind w:left="2940"/>
    </w:pPr>
  </w:style>
  <w:style w:type="paragraph" w:styleId="688">
    <w:name w:val="目录 1"/>
    <w:basedOn w:val="668"/>
    <w:next w:val="668"/>
    <w:link w:val="668"/>
    <w:uiPriority w:val="39"/>
    <w:pPr>
      <w:pBdr/>
      <w:tabs>
        <w:tab w:val="right" w:leader="dot" w:pos="8296"/>
      </w:tabs>
      <w:spacing w:line="288" w:lineRule="auto"/>
      <w:ind/>
    </w:pPr>
    <w:rPr>
      <w:rFonts w:eastAsia="黑体"/>
      <w:sz w:val="24"/>
    </w:rPr>
  </w:style>
  <w:style w:type="paragraph" w:styleId="689">
    <w:name w:val="正文文本缩进 2"/>
    <w:basedOn w:val="668"/>
    <w:next w:val="689"/>
    <w:link w:val="668"/>
    <w:pPr>
      <w:pBdr/>
      <w:spacing w:after="120" w:line="480" w:lineRule="auto"/>
      <w:ind w:left="420"/>
    </w:pPr>
  </w:style>
  <w:style w:type="paragraph" w:styleId="690">
    <w:name w:val="目录 3"/>
    <w:basedOn w:val="668"/>
    <w:next w:val="668"/>
    <w:link w:val="668"/>
    <w:uiPriority w:val="39"/>
    <w:pPr>
      <w:pBdr/>
      <w:spacing/>
      <w:ind w:left="840"/>
    </w:pPr>
  </w:style>
  <w:style w:type="paragraph" w:styleId="691">
    <w:name w:val="正文文本"/>
    <w:basedOn w:val="668"/>
    <w:next w:val="691"/>
    <w:link w:val="668"/>
    <w:pPr>
      <w:pBdr/>
      <w:spacing w:after="120"/>
      <w:ind/>
    </w:pPr>
  </w:style>
  <w:style w:type="paragraph" w:styleId="692">
    <w:name w:val="文档结构图"/>
    <w:basedOn w:val="668"/>
    <w:next w:val="692"/>
    <w:link w:val="668"/>
    <w:semiHidden/>
    <w:pPr>
      <w:pBdr/>
      <w:shd w:val="clear" w:color="auto" w:fill="000080"/>
      <w:spacing/>
      <w:ind/>
    </w:pPr>
  </w:style>
  <w:style w:type="paragraph" w:styleId="693">
    <w:name w:val="正文缩进"/>
    <w:basedOn w:val="668"/>
    <w:next w:val="693"/>
    <w:link w:val="668"/>
    <w:pPr>
      <w:pBdr/>
      <w:spacing/>
      <w:ind w:firstLine="420"/>
    </w:pPr>
  </w:style>
  <w:style w:type="paragraph" w:styleId="694">
    <w:name w:val="目录 7"/>
    <w:basedOn w:val="668"/>
    <w:next w:val="668"/>
    <w:link w:val="668"/>
    <w:semiHidden/>
    <w:pPr>
      <w:pBdr/>
      <w:spacing/>
      <w:ind w:left="2520"/>
    </w:pPr>
  </w:style>
  <w:style w:type="paragraph" w:styleId="695">
    <w:name w:val="目录 9"/>
    <w:basedOn w:val="668"/>
    <w:next w:val="668"/>
    <w:link w:val="668"/>
    <w:semiHidden/>
    <w:pPr>
      <w:pBdr/>
      <w:spacing/>
      <w:ind w:left="3360"/>
    </w:pPr>
  </w:style>
  <w:style w:type="paragraph" w:styleId="696">
    <w:name w:val="目录 6"/>
    <w:basedOn w:val="668"/>
    <w:next w:val="668"/>
    <w:link w:val="668"/>
    <w:semiHidden/>
    <w:pPr>
      <w:pBdr/>
      <w:spacing/>
      <w:ind w:left="2100"/>
    </w:pPr>
  </w:style>
  <w:style w:type="paragraph" w:styleId="697">
    <w:name w:val="页脚"/>
    <w:basedOn w:val="668"/>
    <w:next w:val="697"/>
    <w:link w:val="668"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paragraph" w:styleId="698">
    <w:name w:val="批注文字"/>
    <w:basedOn w:val="668"/>
    <w:next w:val="698"/>
    <w:link w:val="668"/>
    <w:semiHidden/>
    <w:pPr>
      <w:pBdr/>
      <w:spacing/>
      <w:ind/>
      <w:jc w:val="left"/>
    </w:pPr>
  </w:style>
  <w:style w:type="paragraph" w:styleId="699">
    <w:name w:val="索引 1"/>
    <w:basedOn w:val="668"/>
    <w:next w:val="668"/>
    <w:link w:val="668"/>
    <w:semiHidden/>
    <w:pPr>
      <w:pBdr/>
      <w:spacing w:line="360" w:lineRule="auto"/>
      <w:ind/>
      <w:jc w:val="center"/>
    </w:pPr>
    <w:rPr>
      <w:rFonts w:ascii="宋体" w:hAnsi="宋体"/>
    </w:rPr>
  </w:style>
  <w:style w:type="paragraph" w:styleId="700">
    <w:name w:val="索引标题"/>
    <w:basedOn w:val="668"/>
    <w:next w:val="699"/>
    <w:link w:val="668"/>
    <w:semiHidden/>
    <w:pPr>
      <w:pBdr/>
      <w:spacing/>
      <w:ind/>
    </w:pPr>
  </w:style>
  <w:style w:type="paragraph" w:styleId="701">
    <w:name w:val="目录 5"/>
    <w:basedOn w:val="668"/>
    <w:next w:val="668"/>
    <w:link w:val="668"/>
    <w:semiHidden/>
    <w:pPr>
      <w:pBdr/>
      <w:spacing/>
      <w:ind w:left="1680"/>
    </w:pPr>
  </w:style>
  <w:style w:type="paragraph" w:styleId="702">
    <w:name w:val="正文文本缩进"/>
    <w:basedOn w:val="668"/>
    <w:next w:val="702"/>
    <w:link w:val="668"/>
    <w:pPr>
      <w:pBdr/>
      <w:spacing/>
      <w:ind w:firstLine="420"/>
    </w:pPr>
  </w:style>
  <w:style w:type="paragraph" w:styleId="703">
    <w:name w:val="批注主题"/>
    <w:basedOn w:val="698"/>
    <w:next w:val="698"/>
    <w:link w:val="668"/>
    <w:semiHidden/>
    <w:pPr>
      <w:pBdr/>
      <w:spacing/>
      <w:ind/>
    </w:pPr>
    <w:rPr>
      <w:b/>
      <w:bCs/>
    </w:rPr>
  </w:style>
  <w:style w:type="paragraph" w:styleId="704">
    <w:name w:val="批注框文本"/>
    <w:basedOn w:val="668"/>
    <w:next w:val="704"/>
    <w:link w:val="668"/>
    <w:semiHidden/>
    <w:pPr>
      <w:pBdr/>
      <w:spacing/>
      <w:ind/>
    </w:pPr>
    <w:rPr>
      <w:sz w:val="18"/>
      <w:szCs w:val="18"/>
    </w:rPr>
  </w:style>
  <w:style w:type="paragraph" w:styleId="705">
    <w:name w:val="目录 4"/>
    <w:basedOn w:val="668"/>
    <w:next w:val="668"/>
    <w:link w:val="668"/>
    <w:uiPriority w:val="39"/>
    <w:pPr>
      <w:pBdr/>
      <w:spacing/>
      <w:ind w:left="1260"/>
    </w:pPr>
  </w:style>
  <w:style w:type="paragraph" w:styleId="706">
    <w:name w:val="页眉"/>
    <w:basedOn w:val="668"/>
    <w:next w:val="706"/>
    <w:link w:val="668"/>
    <w:pPr>
      <w:pBdr>
        <w:bottom w:val="single" w:color="000000" w:sz="6" w:space="1"/>
      </w:pBdr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paragraph" w:styleId="707">
    <w:name w:val="jq2编号2"/>
    <w:next w:val="707"/>
    <w:link w:val="668"/>
    <w:qFormat/>
    <w:pPr>
      <w:numPr>
        <w:ilvl w:val="0"/>
        <w:numId w:val="1"/>
      </w:numPr>
      <w:pBdr/>
      <w:tabs>
        <w:tab w:val="left" w:leader="none" w:pos="908"/>
      </w:tabs>
      <w:spacing w:after="50" w:before="50" w:line="300" w:lineRule="auto"/>
      <w:ind/>
    </w:pPr>
    <w:rPr>
      <w:rFonts w:ascii="Arial" w:hAnsi="Arial"/>
      <w:sz w:val="21"/>
      <w:szCs w:val="24"/>
      <w:lang w:val="en-US" w:eastAsia="zh-CN" w:bidi="ar-SA"/>
    </w:rPr>
  </w:style>
  <w:style w:type="paragraph" w:styleId="708">
    <w:name w:val="jq3标注段"/>
    <w:next w:val="668"/>
    <w:link w:val="668"/>
    <w:qFormat/>
    <w:pPr>
      <w:numPr>
        <w:ilvl w:val="0"/>
        <w:numId w:val="2"/>
      </w:numPr>
      <w:pBdr/>
      <w:tabs>
        <w:tab w:val="left" w:leader="none" w:pos="420"/>
      </w:tabs>
      <w:spacing w:after="120" w:before="160" w:line="377" w:lineRule="auto"/>
      <w:ind w:right="420"/>
    </w:pPr>
    <w:rPr>
      <w:rFonts w:ascii="楷体_GB2312" w:hAnsi="楷体_GB2312" w:eastAsia="楷体_GB2312"/>
      <w:sz w:val="21"/>
      <w:szCs w:val="21"/>
      <w:lang w:val="en-US" w:eastAsia="zh-CN" w:bidi="ar-SA"/>
    </w:rPr>
  </w:style>
  <w:style w:type="character" w:styleId="709">
    <w:name w:val="标题 1 Char,章标题(有序号) Char,H1 Char,Heading 0 Char,PIM 1 Char,Fab-1 Char,h1 Char,1. Char,Normal + Font: Helvetica Char,Bold Char,Space Before 12 pt Char,Not Bold Char,H11 Char,H12 Char,H13 Char,H14 Char,H15 Char,H16 Char,H17 Char,H111 Char,H121 Char"/>
    <w:next w:val="709"/>
    <w:link w:val="669"/>
    <w:pPr>
      <w:pBdr/>
      <w:spacing/>
      <w:ind/>
    </w:pPr>
    <w:rPr>
      <w:b/>
      <w:bCs/>
      <w:sz w:val="44"/>
      <w:szCs w:val="44"/>
    </w:rPr>
  </w:style>
  <w:style w:type="character" w:styleId="710">
    <w:name w:val="标题 2 Char,节标题 Char,jq1标题 2 Char,节 Char,H2 Char,sect 1.2 Char,PIM2 Char,Heading 2 Hidden Char,Heading 2 CCBS Char,heading 2 Char,Titre3 Char,HD2 Char,H21 Char,sect 1.21 Char,H22 Char,sect 1.22 Char,H211 Char,sect 1.211 Char,H23 Char,sect 1.23 Char,2 Char"/>
    <w:next w:val="710"/>
    <w:link w:val="670"/>
    <w:pPr>
      <w:pBdr/>
      <w:spacing/>
      <w:ind/>
    </w:pPr>
    <w:rPr>
      <w:rFonts w:ascii="Arial" w:hAnsi="Arial" w:eastAsia="黑体"/>
      <w:b/>
      <w:bCs/>
      <w:sz w:val="32"/>
      <w:szCs w:val="32"/>
    </w:rPr>
  </w:style>
  <w:style w:type="character" w:styleId="711">
    <w:name w:val="标题 3 Char,H3 Char,h3 Char,level_3 Char,PIM 3 Char,Level 3 Head Char,Heading 3 - old Char,sect1.2.3 Char,sect1.2.31 Char,sect1.2.32 Char,sect1.2.311 Char,sect1.2.33 Char,sect1.2.312 Char,Bold Head Char,bh Char,BOD 0 Char,l3 Char,3 Char,CT Char,prop3 Char"/>
    <w:next w:val="711"/>
    <w:link w:val="671"/>
    <w:pPr>
      <w:pBdr/>
      <w:spacing/>
      <w:ind/>
    </w:pPr>
    <w:rPr>
      <w:b/>
      <w:bCs/>
      <w:sz w:val="32"/>
      <w:szCs w:val="32"/>
    </w:rPr>
  </w:style>
  <w:style w:type="paragraph" w:styleId="712">
    <w:name w:val="日期"/>
    <w:basedOn w:val="668"/>
    <w:next w:val="668"/>
    <w:link w:val="713"/>
    <w:pPr>
      <w:pBdr/>
      <w:spacing/>
      <w:ind w:left="100"/>
    </w:pPr>
    <w:rPr>
      <w:lang w:val="en-US" w:eastAsia="en-US"/>
    </w:rPr>
  </w:style>
  <w:style w:type="character" w:styleId="713">
    <w:name w:val="日期 Char"/>
    <w:next w:val="713"/>
    <w:link w:val="712"/>
    <w:pPr>
      <w:pBdr/>
      <w:spacing/>
      <w:ind/>
    </w:pPr>
    <w:rPr>
      <w:sz w:val="21"/>
      <w:szCs w:val="24"/>
    </w:rPr>
  </w:style>
  <w:style w:type="paragraph" w:styleId="714">
    <w:name w:val="TOC 标题"/>
    <w:basedOn w:val="669"/>
    <w:next w:val="668"/>
    <w:link w:val="668"/>
    <w:uiPriority w:val="39"/>
    <w:unhideWhenUsed/>
    <w:qFormat/>
    <w:pPr>
      <w:widowControl w:val="true"/>
      <w:pBdr/>
      <w:spacing w:after="0" w:before="480" w:line="276" w:lineRule="auto"/>
      <w:ind/>
      <w:jc w:val="left"/>
      <w:outlineLvl w:val="9"/>
    </w:pPr>
    <w:rPr>
      <w:rFonts w:ascii="Cambria" w:hAnsi="Cambria" w:eastAsia="宋体" w:cs="Times New Roman"/>
      <w:color w:val="365f91"/>
      <w:sz w:val="28"/>
      <w:szCs w:val="28"/>
    </w:rPr>
  </w:style>
  <w:style w:type="character" w:styleId="2846" w:default="1">
    <w:name w:val="Default Paragraph Font"/>
    <w:uiPriority w:val="1"/>
    <w:semiHidden/>
    <w:unhideWhenUsed/>
    <w:pPr>
      <w:pBdr/>
      <w:spacing/>
      <w:ind/>
    </w:pPr>
  </w:style>
  <w:style w:type="numbering" w:styleId="2847" w:default="1">
    <w:name w:val="No List"/>
    <w:uiPriority w:val="99"/>
    <w:semiHidden/>
    <w:unhideWhenUsed/>
    <w:pPr>
      <w:pBdr/>
      <w:spacing/>
      <w:ind/>
    </w:pPr>
  </w:style>
  <w:style w:type="table" w:styleId="2848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预算单位管理信息系统</dc:title>
  <dc:creator>刘旸</dc:creator>
  <cp:lastModifiedBy>匿名</cp:lastModifiedBy>
  <cp:revision>11</cp:revision>
  <dcterms:created xsi:type="dcterms:W3CDTF">2017-10-12T01:46:00Z</dcterms:created>
  <dcterms:modified xsi:type="dcterms:W3CDTF">2024-11-18T03:39:32Z</dcterms:modified>
  <cp:version>786432</cp:version>
</cp:coreProperties>
</file>