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32"/>
        <w:pBdr/>
        <w:spacing w:line="600" w:lineRule="exact"/>
        <w:ind/>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关于淮南市2022年度国有资产管理情况</w:t>
      </w:r>
      <w:r>
        <w:rPr>
          <w:rFonts w:hint="eastAsia" w:ascii="方正小标宋简体" w:hAnsi="方正小标宋简体" w:eastAsia="方正小标宋简体" w:cs="方正小标宋简体"/>
          <w:bCs/>
          <w:sz w:val="44"/>
          <w:szCs w:val="44"/>
        </w:rPr>
      </w:r>
      <w:r>
        <w:rPr>
          <w:rFonts w:hint="eastAsia" w:ascii="方正小标宋简体" w:hAnsi="方正小标宋简体" w:eastAsia="方正小标宋简体" w:cs="方正小标宋简体"/>
          <w:bCs/>
          <w:sz w:val="44"/>
          <w:szCs w:val="44"/>
        </w:rPr>
      </w:r>
    </w:p>
    <w:p>
      <w:pPr>
        <w:pStyle w:val="632"/>
        <w:pBdr/>
        <w:spacing w:line="600" w:lineRule="exact"/>
        <w:ind/>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的综合报告</w:t>
      </w:r>
      <w:r>
        <w:rPr>
          <w:rFonts w:hint="eastAsia" w:ascii="方正小标宋简体" w:hAnsi="方正小标宋简体" w:eastAsia="方正小标宋简体" w:cs="方正小标宋简体"/>
          <w:bCs/>
          <w:sz w:val="44"/>
          <w:szCs w:val="44"/>
        </w:rPr>
      </w:r>
      <w:r>
        <w:rPr>
          <w:rFonts w:hint="eastAsia" w:ascii="方正小标宋简体" w:hAnsi="方正小标宋简体" w:eastAsia="方正小标宋简体" w:cs="方正小标宋简体"/>
          <w:bCs/>
          <w:sz w:val="44"/>
          <w:szCs w:val="44"/>
        </w:rPr>
      </w:r>
    </w:p>
    <w:p>
      <w:pPr>
        <w:pStyle w:val="632"/>
        <w:keepNext w:val="false"/>
        <w:keepLines w:val="false"/>
        <w:pageBreakBefore w:val="false"/>
        <w:widowControl w:val="false"/>
        <w:pBdr/>
        <w:spacing w:line="600" w:lineRule="exact"/>
        <w:ind/>
        <w:jc w:val="center"/>
        <w:rPr>
          <w:rFonts w:hint="eastAsia" w:ascii="楷体_GB2312" w:eastAsia="楷体_GB2312" w:cs="宋体"/>
          <w:bCs/>
          <w:sz w:val="32"/>
          <w:szCs w:val="32"/>
          <w:lang w:eastAsia="zh-CN"/>
        </w:rPr>
      </w:pPr>
      <w:r>
        <w:rPr>
          <w:rFonts w:hint="eastAsia" w:ascii="楷体_GB2312" w:eastAsia="楷体_GB2312" w:cs="宋体"/>
          <w:bCs/>
          <w:sz w:val="32"/>
          <w:szCs w:val="32"/>
          <w:lang w:eastAsia="zh-CN"/>
        </w:rPr>
        <w:t xml:space="preserve">市财政局</w:t>
      </w:r>
      <w:r>
        <w:rPr>
          <w:rFonts w:hint="eastAsia" w:ascii="楷体_GB2312" w:eastAsia="楷体_GB2312" w:cs="宋体"/>
          <w:bCs/>
          <w:sz w:val="32"/>
          <w:szCs w:val="32"/>
          <w:lang w:eastAsia="zh-CN"/>
        </w:rPr>
      </w:r>
      <w:r>
        <w:rPr>
          <w:rFonts w:hint="eastAsia" w:ascii="楷体_GB2312" w:eastAsia="楷体_GB2312" w:cs="宋体"/>
          <w:bCs/>
          <w:sz w:val="32"/>
          <w:szCs w:val="32"/>
          <w:lang w:eastAsia="zh-CN"/>
        </w:rPr>
      </w:r>
    </w:p>
    <w:p>
      <w:pPr>
        <w:pStyle w:val="632"/>
        <w:keepNext w:val="false"/>
        <w:keepLines w:val="false"/>
        <w:pageBreakBefore w:val="false"/>
        <w:widowControl w:val="false"/>
        <w:pBdr/>
        <w:spacing w:line="600" w:lineRule="exact"/>
        <w:ind/>
        <w:jc w:val="center"/>
        <w:rPr>
          <w:rFonts w:hint="eastAsia" w:ascii="楷体_GB2312" w:eastAsia="楷体_GB2312" w:cs="宋体"/>
          <w:bCs/>
          <w:sz w:val="32"/>
          <w:szCs w:val="32"/>
        </w:rPr>
      </w:pPr>
      <w:r>
        <w:rPr>
          <w:rFonts w:hint="eastAsia" w:ascii="楷体_GB2312" w:eastAsia="楷体_GB2312" w:cs="宋体"/>
          <w:bCs/>
          <w:sz w:val="32"/>
          <w:szCs w:val="32"/>
        </w:rPr>
        <w:t xml:space="preserve">（</w:t>
      </w:r>
      <w:r>
        <w:rPr>
          <w:rFonts w:hint="eastAsia" w:ascii="楷体_GB2312" w:eastAsia="楷体_GB2312" w:cs="宋体"/>
          <w:bCs/>
          <w:sz w:val="32"/>
          <w:szCs w:val="32"/>
          <w:lang w:val="en-US" w:eastAsia="zh-CN"/>
        </w:rPr>
        <w:t xml:space="preserve">2023</w:t>
      </w:r>
      <w:r>
        <w:rPr>
          <w:rFonts w:hint="eastAsia" w:ascii="楷体_GB2312" w:eastAsia="楷体_GB2312" w:cs="宋体"/>
          <w:bCs/>
          <w:sz w:val="32"/>
          <w:szCs w:val="32"/>
        </w:rPr>
        <w:t xml:space="preserve">年</w:t>
      </w:r>
      <w:r>
        <w:rPr>
          <w:rFonts w:hint="eastAsia" w:ascii="楷体_GB2312" w:eastAsia="楷体_GB2312" w:cs="宋体"/>
          <w:bCs/>
          <w:sz w:val="32"/>
          <w:szCs w:val="32"/>
          <w:lang w:val="en-US" w:eastAsia="zh-CN"/>
        </w:rPr>
        <w:t xml:space="preserve">10</w:t>
      </w:r>
      <w:r>
        <w:rPr>
          <w:rFonts w:hint="eastAsia" w:ascii="楷体_GB2312" w:eastAsia="楷体_GB2312" w:cs="宋体"/>
          <w:bCs/>
          <w:sz w:val="32"/>
          <w:szCs w:val="32"/>
        </w:rPr>
        <w:t xml:space="preserve">月</w:t>
      </w:r>
      <w:r>
        <w:rPr>
          <w:rFonts w:hint="eastAsia" w:ascii="楷体_GB2312" w:eastAsia="楷体_GB2312" w:cs="宋体"/>
          <w:bCs/>
          <w:sz w:val="32"/>
          <w:szCs w:val="32"/>
          <w:lang w:val="en-US" w:eastAsia="zh-CN"/>
        </w:rPr>
        <w:t xml:space="preserve">26日</w:t>
      </w:r>
      <w:r>
        <w:rPr>
          <w:rFonts w:hint="eastAsia" w:ascii="楷体_GB2312" w:eastAsia="楷体_GB2312" w:cs="宋体"/>
          <w:bCs/>
          <w:sz w:val="32"/>
          <w:szCs w:val="32"/>
        </w:rPr>
        <w:t xml:space="preserve">）</w:t>
      </w:r>
      <w:r>
        <w:rPr>
          <w:rFonts w:hint="eastAsia" w:ascii="楷体_GB2312" w:eastAsia="楷体_GB2312" w:cs="宋体"/>
          <w:bCs/>
          <w:sz w:val="32"/>
          <w:szCs w:val="32"/>
        </w:rPr>
      </w:r>
      <w:r>
        <w:rPr>
          <w:rFonts w:hint="eastAsia" w:ascii="楷体_GB2312" w:eastAsia="楷体_GB2312" w:cs="宋体"/>
          <w:bCs/>
          <w:sz w:val="32"/>
          <w:szCs w:val="32"/>
        </w:rPr>
      </w:r>
    </w:p>
    <w:p>
      <w:pPr>
        <w:pStyle w:val="647"/>
        <w:pBdr/>
        <w:spacing/>
        <w:ind w:firstLine="0" w:left="0"/>
        <w:rPr>
          <w:rFonts w:hint="eastAsia"/>
        </w:rPr>
      </w:pPr>
      <w:r>
        <w:rPr>
          <w:rFonts w:hint="eastAsia"/>
        </w:rPr>
      </w:r>
      <w:r>
        <w:rPr>
          <w:rFonts w:hint="eastAsia"/>
        </w:rPr>
      </w:r>
    </w:p>
    <w:p>
      <w:pPr>
        <w:pStyle w:val="632"/>
        <w:keepNext w:val="false"/>
        <w:keepLines w:val="false"/>
        <w:pageBreakBefore w:val="false"/>
        <w:widowControl w:val="false"/>
        <w:pBdr/>
        <w:spacing w:line="600" w:lineRule="exact"/>
        <w:ind/>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主任、各位副主任、秘书长、各位委员：</w:t>
      </w:r>
      <w:r>
        <w:rPr>
          <w:rFonts w:hint="eastAsia" w:ascii="仿宋_GB2312" w:hAnsi="仿宋_GB2312" w:eastAsia="仿宋_GB2312" w:cs="仿宋_GB2312"/>
          <w:color w:val="000000"/>
          <w:sz w:val="32"/>
          <w:szCs w:val="32"/>
          <w:lang w:val="en-US" w:eastAsia="zh-CN"/>
        </w:rPr>
      </w:r>
      <w:r>
        <w:rPr>
          <w:rFonts w:hint="eastAsia" w:ascii="仿宋_GB2312" w:hAnsi="仿宋_GB2312" w:eastAsia="仿宋_GB2312" w:cs="仿宋_GB2312"/>
          <w:color w:val="000000"/>
          <w:sz w:val="32"/>
          <w:szCs w:val="32"/>
          <w:lang w:val="en-US" w:eastAsia="zh-CN"/>
        </w:rPr>
      </w:r>
    </w:p>
    <w:p>
      <w:pPr>
        <w:pStyle w:val="632"/>
        <w:keepNext w:val="false"/>
        <w:keepLines w:val="false"/>
        <w:pageBreakBefore w:val="false"/>
        <w:widowControl w:val="false"/>
        <w:pBdr/>
        <w:spacing w:line="60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根据《中共淮南市委关于建立市政府向市人大常委会报告国有资产管理情况制度的意见（淮发〔2018〕36号）和市人大常委会要求，现将我市2022年度国有资产管理情况报告如下，请予审议。</w:t>
      </w:r>
      <w:r>
        <w:rPr>
          <w:rFonts w:hint="eastAsia" w:ascii="仿宋_GB2312" w:hAnsi="仿宋_GB2312" w:eastAsia="仿宋_GB2312" w:cs="仿宋_GB2312"/>
          <w:color w:val="000000"/>
          <w:sz w:val="32"/>
          <w:szCs w:val="32"/>
          <w:lang w:val="en-US" w:eastAsia="zh-CN"/>
        </w:rPr>
      </w:r>
      <w:r>
        <w:rPr>
          <w:rFonts w:hint="eastAsia" w:ascii="仿宋_GB2312" w:hAnsi="仿宋_GB2312" w:eastAsia="仿宋_GB2312" w:cs="仿宋_GB2312"/>
          <w:color w:val="000000"/>
          <w:sz w:val="32"/>
          <w:szCs w:val="32"/>
          <w:lang w:val="en-US" w:eastAsia="zh-CN"/>
        </w:rPr>
      </w:r>
    </w:p>
    <w:p>
      <w:pPr>
        <w:pStyle w:val="632"/>
        <w:keepNext w:val="false"/>
        <w:keepLines w:val="false"/>
        <w:pageBreakBefore w:val="false"/>
        <w:widowControl w:val="false"/>
        <w:pBdr/>
        <w:spacing w:line="600" w:lineRule="exact"/>
        <w:ind w:firstLine="640"/>
        <w:rPr>
          <w:rFonts w:hint="eastAsia" w:ascii="黑体" w:hAnsi="黑体" w:eastAsia="黑体" w:cs="黑体"/>
          <w:bCs/>
          <w:color w:val="000000"/>
          <w:sz w:val="32"/>
          <w:szCs w:val="32"/>
        </w:rPr>
      </w:pPr>
      <w:r>
        <w:rPr>
          <w:rFonts w:hint="eastAsia" w:ascii="黑体" w:hAnsi="黑体" w:eastAsia="黑体" w:cs="黑体"/>
          <w:bCs/>
          <w:color w:val="000000"/>
          <w:sz w:val="32"/>
          <w:szCs w:val="32"/>
        </w:rPr>
        <w:t xml:space="preserve">一、国有资产基本情况</w:t>
      </w:r>
      <w:r>
        <w:rPr>
          <w:rFonts w:hint="eastAsia" w:ascii="黑体" w:hAnsi="黑体" w:eastAsia="黑体" w:cs="黑体"/>
          <w:bCs/>
          <w:color w:val="000000"/>
          <w:sz w:val="32"/>
          <w:szCs w:val="32"/>
        </w:rPr>
      </w:r>
      <w:r>
        <w:rPr>
          <w:rFonts w:hint="eastAsia" w:ascii="黑体" w:hAnsi="黑体" w:eastAsia="黑体" w:cs="黑体"/>
          <w:bCs/>
          <w:color w:val="000000"/>
          <w:sz w:val="32"/>
          <w:szCs w:val="32"/>
        </w:rPr>
      </w:r>
    </w:p>
    <w:p>
      <w:pPr>
        <w:pStyle w:val="632"/>
        <w:keepNext w:val="false"/>
        <w:keepLines w:val="false"/>
        <w:pageBreakBefore w:val="false"/>
        <w:widowControl w:val="false"/>
        <w:pBdr/>
        <w:spacing w:line="600" w:lineRule="exact"/>
        <w:ind w:firstLine="643"/>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 xml:space="preserve">（一）非金融企业国有资产。</w:t>
      </w:r>
      <w:r>
        <w:rPr>
          <w:rFonts w:hint="eastAsia" w:ascii="仿宋_GB2312" w:hAnsi="仿宋_GB2312" w:eastAsia="仿宋_GB2312" w:cs="仿宋_GB2312"/>
          <w:color w:val="000000"/>
          <w:sz w:val="32"/>
          <w:szCs w:val="32"/>
        </w:rPr>
        <w:t xml:space="preserve">截至2022年末，全市纳入统计的国有及国有控股企业89户，资产总额1990.1亿元，同比增长29.1%，主要是新成立交控集团和淮粮集团；负债总额1021.69亿元，增长9.68%;所有者权益总额968.41亿元。其中：市属国有及国有控股企业67户，资产总额1249亿元，增长27.62%；负债总额658.2亿元，增长10.12%；所有者权益总额590.8亿元。</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全市国有企业营业总收入131.65亿元，增长6.78%；利润总额7.29亿元，国有资本保值增值率为106.87%。全市国有企业高管人数147名，薪酬总额2184.7万元。</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3"/>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 xml:space="preserve">（二）金融企业国有资产。</w:t>
      </w:r>
      <w:r>
        <w:rPr>
          <w:rFonts w:hint="eastAsia" w:ascii="仿宋_GB2312" w:hAnsi="仿宋_GB2312" w:eastAsia="仿宋_GB2312" w:cs="仿宋_GB2312"/>
          <w:color w:val="000000"/>
          <w:sz w:val="32"/>
          <w:szCs w:val="32"/>
        </w:rPr>
        <w:t xml:space="preserve">截至2022年末，全市国有金融企业9家，其中：政府性融资担保公司8家，非政府性融资担保公司1家。全市国有金融企业资产总额32.1亿元，减少0.86%;负债总额6.43亿元，增长13.60%;所有者权益总额25.67亿元，</w:t>
      </w:r>
      <w:r>
        <w:rPr>
          <w:rFonts w:hint="eastAsia" w:ascii="仿宋_GB2312" w:hAnsi="仿宋_GB2312" w:eastAsia="仿宋_GB2312" w:cs="仿宋_GB2312"/>
          <w:color w:val="000000"/>
          <w:sz w:val="32"/>
          <w:szCs w:val="32"/>
          <w:lang w:eastAsia="zh-CN"/>
        </w:rPr>
        <w:t xml:space="preserve">减少</w:t>
      </w:r>
      <w:r>
        <w:rPr>
          <w:rFonts w:hint="eastAsia" w:ascii="仿宋_GB2312" w:hAnsi="仿宋_GB2312" w:eastAsia="仿宋_GB2312" w:cs="仿宋_GB2312"/>
          <w:color w:val="000000"/>
          <w:sz w:val="32"/>
          <w:szCs w:val="32"/>
        </w:rPr>
        <w:t xml:space="preserve">3.93%。</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全市担保业务收入0.40亿元，净利润0.12亿元，上缴所得税0.08亿元。全市融资担保机构高管人数25人，薪酬总额222.57万元。</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3"/>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 xml:space="preserve">（三）行政事业性国有资产。</w:t>
      </w:r>
      <w:r>
        <w:rPr>
          <w:rFonts w:hint="eastAsia" w:ascii="仿宋_GB2312" w:hAnsi="仿宋_GB2312" w:eastAsia="仿宋_GB2312" w:cs="仿宋_GB2312"/>
          <w:color w:val="000000"/>
          <w:sz w:val="32"/>
          <w:szCs w:val="32"/>
        </w:rPr>
        <w:t xml:space="preserve">截至2022年末，全市资产总</w:t>
      </w:r>
      <w:r>
        <w:rPr>
          <w:rFonts w:hint="eastAsia" w:ascii="仿宋_GB2312" w:hAnsi="仿宋_GB2312" w:eastAsia="仿宋_GB2312" w:cs="仿宋_GB2312"/>
          <w:color w:val="000000"/>
          <w:sz w:val="32"/>
          <w:szCs w:val="32"/>
        </w:rPr>
        <w:t xml:space="preserve">额666.24亿元，增长3.65%;负债总额103.67亿元，增长1.90%; 净资产总额562.57亿元，增长3.98%。其中：市本级资产总额299.65亿元，减少4.67%，主要原因为市本级部分市政道路按属地原则移交山南高新区管理。据行业主管部门统计，截至2022年末，公路里程8996.73公里，各类水闸、泵站、水库、渠系枢纽及其他渠系建筑物261座，城市道路386.79公里，园林绿化503.55万平方米，不可移动文物726处，可移动文物7373件（套），保障性住房12043套、总面积58.9万平方米。</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从资产配置、使用、处置和效益方面看，2022年全市配置固定资产20.91亿元，无形资产1.34亿元，在建工程6.85亿元。全市自用固定资产159.92亿元，无形资产14.53亿元；出租出借固定资产2.27亿元，无形资产0.04亿元；对外投资1.53亿元。全市处置（转让/报废/无偿划转等）固定资产3.01亿元，无形资产0.03亿元</w:t>
      </w:r>
      <w:r>
        <w:rPr>
          <w:rFonts w:hint="eastAsia" w:ascii="仿宋_GB2312" w:hAnsi="仿宋_GB2312" w:eastAsia="仿宋_GB2312" w:cs="仿宋_GB2312"/>
          <w:color w:val="000000"/>
          <w:sz w:val="32"/>
          <w:szCs w:val="32"/>
          <w:lang w:eastAsia="zh-CN"/>
        </w:rPr>
        <w:t xml:space="preserve">。</w:t>
      </w:r>
      <w:r>
        <w:rPr>
          <w:rFonts w:hint="eastAsia" w:ascii="仿宋_GB2312" w:hAnsi="仿宋_GB2312" w:eastAsia="仿宋_GB2312" w:cs="仿宋_GB2312"/>
          <w:color w:val="000000"/>
          <w:sz w:val="32"/>
          <w:szCs w:val="32"/>
        </w:rPr>
        <w:t xml:space="preserve">全市处置收益0.63亿元，出租出借收益2.60亿元。</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3"/>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 xml:space="preserve">（四）国有自然资源。</w:t>
      </w:r>
      <w:r>
        <w:rPr>
          <w:rFonts w:hint="eastAsia" w:ascii="仿宋_GB2312" w:hAnsi="仿宋_GB2312" w:eastAsia="仿宋_GB2312" w:cs="仿宋_GB2312"/>
          <w:color w:val="000000"/>
          <w:sz w:val="32"/>
          <w:szCs w:val="32"/>
        </w:rPr>
        <w:t xml:space="preserve">截至2022年末，全市国有土地总面积55.35万公顷。其中：耕地33.20万公顷，园地0.34万公顷，林地2.11万公顷，草地0.10万公顷，湿地0.19万公顷，城镇村及工矿用地7.55万公顷，交通运输用地0.70万公顷，水域及水利设施用地10.09万公顷，其他土地1.07万公顷。另外，市土地储备中心收储土地0.08万公顷。</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全市水资源总量11.62亿立方米，其中：地表水资源量8.08亿立方米，地下水资源量5.97亿立方米。</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全市国有森林面积6710.23公顷，其中：乔木林地6085.02公顷，灌木林地24.80公顷，竹林地17.84公顷，其他林地（包括无立木林地、疏林地等）582.57公顷。</w:t>
      </w:r>
      <w:r>
        <w:rPr>
          <w:rFonts w:ascii="仿宋_GB2312" w:hAnsi="仿宋_GB2312" w:eastAsia="仿宋_GB2312" w:cs="仿宋_GB2312"/>
          <w:color w:val="000000"/>
          <w:sz w:val="32"/>
          <w:szCs w:val="32"/>
        </w:rPr>
      </w:r>
      <w:r>
        <w:rPr>
          <w:rFonts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全市境内煤炭资源累计查明</w:t>
      </w:r>
      <w:r>
        <w:rPr>
          <w:rFonts w:hint="eastAsia" w:ascii="仿宋_GB2312" w:hAnsi="仿宋_GB2312" w:eastAsia="仿宋_GB2312" w:cs="仿宋_GB2312"/>
          <w:color w:val="000000"/>
          <w:sz w:val="32"/>
          <w:szCs w:val="32"/>
          <w:lang w:eastAsia="zh-CN"/>
        </w:rPr>
        <w:t xml:space="preserve">储量</w:t>
      </w:r>
      <w:r>
        <w:rPr>
          <w:rFonts w:hint="eastAsia" w:ascii="仿宋_GB2312" w:hAnsi="仿宋_GB2312" w:eastAsia="仿宋_GB2312" w:cs="仿宋_GB2312"/>
          <w:color w:val="000000"/>
          <w:sz w:val="32"/>
          <w:szCs w:val="32"/>
        </w:rPr>
        <w:t xml:space="preserve">187.26亿吨</w:t>
      </w:r>
      <w:r>
        <w:rPr>
          <w:rFonts w:hint="eastAsia" w:ascii="仿宋_GB2312" w:hAnsi="仿宋_GB2312" w:eastAsia="仿宋_GB2312" w:cs="仿宋_GB2312"/>
          <w:color w:val="000000"/>
          <w:sz w:val="32"/>
          <w:szCs w:val="32"/>
          <w:lang w:eastAsia="zh-CN"/>
        </w:rPr>
        <w:t xml:space="preserve">，</w:t>
      </w:r>
      <w:r>
        <w:rPr>
          <w:rFonts w:hint="eastAsia" w:ascii="仿宋_GB2312" w:hAnsi="仿宋_GB2312" w:eastAsia="仿宋_GB2312" w:cs="仿宋_GB2312"/>
          <w:color w:val="000000"/>
          <w:sz w:val="32"/>
          <w:szCs w:val="32"/>
        </w:rPr>
        <w:t xml:space="preserve">保有</w:t>
      </w:r>
      <w:r>
        <w:rPr>
          <w:rFonts w:hint="eastAsia" w:ascii="仿宋_GB2312" w:hAnsi="仿宋_GB2312" w:eastAsia="仿宋_GB2312" w:cs="仿宋_GB2312"/>
          <w:color w:val="000000"/>
          <w:sz w:val="32"/>
          <w:szCs w:val="32"/>
          <w:lang w:eastAsia="zh-CN"/>
        </w:rPr>
        <w:t xml:space="preserve">储</w:t>
      </w:r>
      <w:r>
        <w:rPr>
          <w:rFonts w:hint="eastAsia" w:ascii="仿宋_GB2312" w:hAnsi="仿宋_GB2312" w:eastAsia="仿宋_GB2312" w:cs="仿宋_GB2312"/>
          <w:color w:val="000000"/>
          <w:sz w:val="32"/>
          <w:szCs w:val="32"/>
        </w:rPr>
        <w:t xml:space="preserve">量168.62亿吨</w:t>
      </w:r>
      <w:r>
        <w:rPr>
          <w:rFonts w:hint="eastAsia" w:ascii="仿宋_GB2312" w:hAnsi="仿宋_GB2312" w:eastAsia="仿宋_GB2312" w:cs="仿宋_GB2312"/>
          <w:color w:val="000000"/>
          <w:sz w:val="32"/>
          <w:szCs w:val="32"/>
          <w:lang w:eastAsia="zh-CN"/>
        </w:rPr>
        <w:t xml:space="preserve">；</w:t>
      </w:r>
      <w:r>
        <w:rPr>
          <w:rFonts w:hint="eastAsia" w:ascii="仿宋_GB2312" w:hAnsi="仿宋_GB2312" w:eastAsia="仿宋_GB2312" w:cs="仿宋_GB2312"/>
          <w:color w:val="000000"/>
          <w:sz w:val="32"/>
          <w:szCs w:val="32"/>
        </w:rPr>
        <w:t xml:space="preserve">石灰岩已探明的潜在资源量1.58亿吨；钾长石</w:t>
      </w:r>
      <w:r>
        <w:rPr>
          <w:rFonts w:hint="eastAsia" w:ascii="仿宋_GB2312" w:hAnsi="仿宋_GB2312" w:eastAsia="仿宋_GB2312" w:cs="仿宋_GB2312"/>
          <w:color w:val="000000"/>
          <w:sz w:val="32"/>
          <w:szCs w:val="32"/>
          <w:lang w:eastAsia="zh-CN"/>
        </w:rPr>
        <w:t xml:space="preserve">累计</w:t>
      </w:r>
      <w:r>
        <w:rPr>
          <w:rFonts w:hint="eastAsia" w:ascii="仿宋_GB2312" w:hAnsi="仿宋_GB2312" w:eastAsia="仿宋_GB2312" w:cs="仿宋_GB2312"/>
          <w:color w:val="000000"/>
          <w:sz w:val="32"/>
          <w:szCs w:val="32"/>
        </w:rPr>
        <w:t xml:space="preserve">查明</w:t>
      </w:r>
      <w:r>
        <w:rPr>
          <w:rFonts w:hint="eastAsia" w:ascii="仿宋_GB2312" w:hAnsi="仿宋_GB2312" w:eastAsia="仿宋_GB2312" w:cs="仿宋_GB2312"/>
          <w:color w:val="000000"/>
          <w:sz w:val="32"/>
          <w:szCs w:val="32"/>
          <w:lang w:eastAsia="zh-CN"/>
        </w:rPr>
        <w:t xml:space="preserve">及</w:t>
      </w:r>
      <w:r>
        <w:rPr>
          <w:rFonts w:hint="eastAsia" w:ascii="仿宋_GB2312" w:hAnsi="仿宋_GB2312" w:eastAsia="仿宋_GB2312" w:cs="仿宋_GB2312"/>
          <w:color w:val="000000"/>
          <w:sz w:val="32"/>
          <w:szCs w:val="32"/>
        </w:rPr>
        <w:t xml:space="preserve">保有储量707.40万吨；高岭土查明</w:t>
      </w:r>
      <w:r>
        <w:rPr>
          <w:rFonts w:hint="eastAsia" w:ascii="仿宋_GB2312" w:hAnsi="仿宋_GB2312" w:eastAsia="仿宋_GB2312" w:cs="仿宋_GB2312"/>
          <w:color w:val="000000"/>
          <w:sz w:val="32"/>
          <w:szCs w:val="32"/>
          <w:lang w:eastAsia="zh-CN"/>
        </w:rPr>
        <w:t xml:space="preserve">资源</w:t>
      </w:r>
      <w:r>
        <w:rPr>
          <w:rFonts w:hint="eastAsia" w:ascii="仿宋_GB2312" w:hAnsi="仿宋_GB2312" w:eastAsia="仿宋_GB2312" w:cs="仿宋_GB2312"/>
          <w:color w:val="000000"/>
          <w:sz w:val="32"/>
          <w:szCs w:val="32"/>
        </w:rPr>
        <w:t xml:space="preserve">储量56万吨；磷灰岩累计查明储量307.03万吨，保有储量235.4万吨。</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 xml:space="preserve">二、国有资产管理情况</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3"/>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 xml:space="preserve">（一）非金融企业国有资产</w:t>
      </w:r>
      <w:r>
        <w:rPr>
          <w:rFonts w:hint="eastAsia" w:ascii="楷体_GB2312" w:hAnsi="楷体_GB2312" w:eastAsia="楷体_GB2312" w:cs="楷体_GB2312"/>
          <w:b/>
          <w:bCs/>
          <w:color w:val="000000"/>
          <w:sz w:val="32"/>
          <w:szCs w:val="32"/>
        </w:rPr>
      </w:r>
      <w:r>
        <w:rPr>
          <w:rFonts w:hint="eastAsia" w:ascii="楷体_GB2312" w:hAnsi="楷体_GB2312" w:eastAsia="楷体_GB2312" w:cs="楷体_GB2312"/>
          <w:b/>
          <w:bCs/>
          <w:color w:val="000000"/>
          <w:sz w:val="32"/>
          <w:szCs w:val="32"/>
        </w:rPr>
      </w:r>
    </w:p>
    <w:p>
      <w:pPr>
        <w:pStyle w:val="632"/>
        <w:keepNext w:val="false"/>
        <w:keepLines w:val="false"/>
        <w:pageBreakBefore w:val="false"/>
        <w:widowControl w:val="false"/>
        <w:pBdr/>
        <w:spacing w:line="600" w:lineRule="exact"/>
        <w:ind w:firstLine="643"/>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 xml:space="preserve">1.加强党的领导，全面深化国资国企改革。</w:t>
      </w:r>
      <w:r>
        <w:rPr>
          <w:rFonts w:hint="eastAsia" w:ascii="仿宋_GB2312" w:hAnsi="仿宋_GB2312" w:eastAsia="仿宋_GB2312" w:cs="仿宋_GB2312"/>
          <w:color w:val="000000"/>
          <w:sz w:val="32"/>
          <w:szCs w:val="32"/>
        </w:rPr>
        <w:t xml:space="preserve">加强党对国有企业的领导，把学习宣传贯彻党的二十大精神作为首要政治任务，坚持“两个一以贯之”，推动党建工作与公司治理、国资国企改革深度融合。全市国企改革三年行动圆满收官，中国特色现代企业制度持续完善，初步形成了权责法定、权责透明、协调运转、有效制衡的法人治理结构。完善市场化经营机制，推行市属企业经理层成员任期制和契约化管理，深化国企三项制度改革，灵活开展中长期激励与约束。</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3"/>
        <w:rPr>
          <w:rFonts w:eastAsia="仿宋_GB2312" w:cs="仿宋_GB2312"/>
          <w:sz w:val="32"/>
          <w:szCs w:val="32"/>
        </w:rPr>
      </w:pPr>
      <w:r>
        <w:rPr>
          <w:rFonts w:hint="eastAsia" w:ascii="仿宋_GB2312" w:hAnsi="仿宋_GB2312" w:eastAsia="仿宋_GB2312" w:cs="仿宋_GB2312"/>
          <w:b/>
          <w:bCs/>
          <w:color w:val="000000"/>
          <w:sz w:val="32"/>
          <w:szCs w:val="32"/>
        </w:rPr>
        <w:t xml:space="preserve">2.完善管理制度，不断提升国资国企监管水平。</w:t>
      </w:r>
      <w:r>
        <w:rPr>
          <w:rFonts w:hint="eastAsia" w:eastAsia="仿宋_GB2312" w:cs="仿宋_GB2312"/>
          <w:sz w:val="32"/>
          <w:szCs w:val="32"/>
        </w:rPr>
        <w:t xml:space="preserve">全面梳理监管事项，出台监管责任约谈工作、工资总额管理、经理层成员任期制和契约化管理等一系列监管制度和文件，不断完善监管制度体系。建立外部董事派出制度，向建发集团、产发集团、华源控股委派</w:t>
      </w:r>
      <w:r>
        <w:rPr>
          <w:rFonts w:hint="eastAsia" w:ascii="仿宋_GB2312" w:hAnsi="仿宋_GB2312" w:eastAsia="仿宋_GB2312" w:cs="仿宋_GB2312"/>
          <w:color w:val="000000"/>
          <w:sz w:val="32"/>
          <w:szCs w:val="32"/>
        </w:rPr>
        <w:t xml:space="preserve">9</w:t>
      </w:r>
      <w:r>
        <w:rPr>
          <w:rFonts w:hint="eastAsia" w:eastAsia="仿宋_GB2312" w:cs="仿宋_GB2312"/>
          <w:sz w:val="32"/>
          <w:szCs w:val="32"/>
        </w:rPr>
        <w:t xml:space="preserve">名外部董事，严格履行董事职责。搭建国资国企在线监管系统，实现对国有企业基本情况、组织架构、三重一大等信息及重大事项的全程动态监管</w:t>
      </w:r>
      <w:r>
        <w:rPr>
          <w:rFonts w:hint="eastAsia" w:eastAsia="仿宋_GB2312" w:cs="仿宋_GB2312"/>
          <w:sz w:val="32"/>
          <w:szCs w:val="32"/>
          <w:lang w:eastAsia="zh-CN"/>
        </w:rPr>
        <w:t xml:space="preserve">。</w:t>
      </w:r>
      <w:r>
        <w:rPr>
          <w:rFonts w:hint="eastAsia" w:eastAsia="仿宋_GB2312" w:cs="仿宋_GB2312"/>
          <w:sz w:val="32"/>
          <w:szCs w:val="32"/>
        </w:rPr>
        <w:t xml:space="preserve">成立投融资工作领导小组，组织专家对投融资项目进行研究论证，全年召开会议</w:t>
      </w:r>
      <w:r>
        <w:rPr>
          <w:rFonts w:hint="eastAsia" w:ascii="仿宋_GB2312" w:hAnsi="仿宋_GB2312" w:eastAsia="仿宋_GB2312" w:cs="仿宋_GB2312"/>
          <w:color w:val="000000"/>
          <w:sz w:val="32"/>
          <w:szCs w:val="32"/>
        </w:rPr>
        <w:t xml:space="preserve">8</w:t>
      </w:r>
      <w:r>
        <w:rPr>
          <w:rFonts w:hint="eastAsia" w:eastAsia="仿宋_GB2312" w:cs="仿宋_GB2312"/>
          <w:sz w:val="32"/>
          <w:szCs w:val="32"/>
        </w:rPr>
        <w:t xml:space="preserve">次，研究项目议题</w:t>
      </w:r>
      <w:r>
        <w:rPr>
          <w:rFonts w:hint="eastAsia" w:ascii="仿宋_GB2312" w:hAnsi="仿宋_GB2312" w:eastAsia="仿宋_GB2312" w:cs="仿宋_GB2312"/>
          <w:color w:val="000000"/>
          <w:sz w:val="32"/>
          <w:szCs w:val="32"/>
        </w:rPr>
        <w:t xml:space="preserve">29</w:t>
      </w:r>
      <w:r>
        <w:rPr>
          <w:rFonts w:hint="eastAsia" w:eastAsia="仿宋_GB2312" w:cs="仿宋_GB2312"/>
          <w:sz w:val="32"/>
          <w:szCs w:val="32"/>
        </w:rPr>
        <w:t xml:space="preserve">个，有效防范化解企业经营、投融资等潜在风险。</w:t>
      </w:r>
      <w:r>
        <w:rPr>
          <w:rFonts w:eastAsia="仿宋_GB2312" w:cs="仿宋_GB2312"/>
          <w:sz w:val="32"/>
          <w:szCs w:val="32"/>
        </w:rPr>
      </w:r>
      <w:r>
        <w:rPr>
          <w:rFonts w:eastAsia="仿宋_GB2312" w:cs="仿宋_GB2312"/>
          <w:sz w:val="32"/>
          <w:szCs w:val="32"/>
        </w:rPr>
      </w:r>
    </w:p>
    <w:p>
      <w:pPr>
        <w:pStyle w:val="632"/>
        <w:keepNext w:val="false"/>
        <w:keepLines w:val="false"/>
        <w:pageBreakBefore w:val="false"/>
        <w:widowControl w:val="false"/>
        <w:pBdr/>
        <w:spacing w:line="600" w:lineRule="exact"/>
        <w:ind w:firstLine="643"/>
        <w:rPr>
          <w:rFonts w:ascii="Calibri" w:hAnsi="Calibri"/>
          <w:szCs w:val="22"/>
        </w:rPr>
      </w:pPr>
      <w:r>
        <w:rPr>
          <w:rFonts w:hint="eastAsia" w:ascii="仿宋_GB2312" w:hAnsi="仿宋_GB2312" w:eastAsia="仿宋_GB2312" w:cs="仿宋_GB2312"/>
          <w:b/>
          <w:bCs/>
          <w:color w:val="000000"/>
          <w:sz w:val="32"/>
          <w:szCs w:val="32"/>
        </w:rPr>
        <w:t xml:space="preserve">3.加快产业整合，持续优化国有资本布局结构。</w:t>
      </w:r>
      <w:r>
        <w:rPr>
          <w:rFonts w:hint="eastAsia" w:eastAsia="仿宋_GB2312" w:cs="仿宋_GB2312"/>
          <w:sz w:val="32"/>
          <w:szCs w:val="32"/>
        </w:rPr>
        <w:t xml:space="preserve">推进建发集团市场化转型，围绕城市经营性资产运营，形成房地产开发、酒店运营、智慧泊车、沉陷区环境治理等多版块发展战略规划，其中，已建成使用的淮南迎宾馆全年取得营业收入</w:t>
      </w:r>
      <w:r>
        <w:rPr>
          <w:rFonts w:hint="eastAsia" w:ascii="仿宋_GB2312" w:hAnsi="仿宋_GB2312" w:eastAsia="仿宋_GB2312" w:cs="仿宋_GB2312"/>
          <w:color w:val="000000"/>
          <w:sz w:val="32"/>
          <w:szCs w:val="32"/>
        </w:rPr>
        <w:t xml:space="preserve">2500</w:t>
      </w:r>
      <w:r>
        <w:rPr>
          <w:rFonts w:hint="eastAsia" w:eastAsia="仿宋_GB2312" w:cs="仿宋_GB2312"/>
          <w:sz w:val="32"/>
          <w:szCs w:val="32"/>
        </w:rPr>
        <w:t xml:space="preserve">万元；智慧泊车一期项目的</w:t>
      </w:r>
      <w:r>
        <w:rPr>
          <w:rFonts w:hint="eastAsia" w:ascii="仿宋_GB2312" w:hAnsi="仿宋_GB2312" w:eastAsia="仿宋_GB2312" w:cs="仿宋_GB2312"/>
          <w:color w:val="000000"/>
          <w:sz w:val="32"/>
          <w:szCs w:val="32"/>
        </w:rPr>
        <w:t xml:space="preserve">9</w:t>
      </w:r>
      <w:r>
        <w:rPr>
          <w:rFonts w:hint="eastAsia" w:eastAsia="仿宋_GB2312" w:cs="仿宋_GB2312"/>
          <w:sz w:val="32"/>
          <w:szCs w:val="32"/>
        </w:rPr>
        <w:t xml:space="preserve">个停车场已全面投入使用，有效缓解市中心“停车难”问题。实现产发集团多元化发展，围绕产业园区、产业基金、参股投资等，着力培育新能源汽车及零部件、新一代信息技术、新材料等</w:t>
      </w:r>
      <w:r>
        <w:rPr>
          <w:rFonts w:hint="eastAsia" w:ascii="仿宋_GB2312" w:hAnsi="仿宋_GB2312" w:eastAsia="仿宋_GB2312" w:cs="仿宋_GB2312"/>
          <w:color w:val="000000"/>
          <w:sz w:val="32"/>
          <w:szCs w:val="32"/>
        </w:rPr>
        <w:t xml:space="preserve">“6+1”</w:t>
      </w:r>
      <w:r>
        <w:rPr>
          <w:rFonts w:hint="eastAsia" w:eastAsia="仿宋_GB2312" w:cs="仿宋_GB2312"/>
          <w:sz w:val="32"/>
          <w:szCs w:val="32"/>
        </w:rPr>
        <w:t xml:space="preserve">战略性新兴产业，有效提升企业竞争力。交控集团围绕交通领域加大投资力度，已完成高速公路等项目总投资</w:t>
      </w:r>
      <w:r>
        <w:rPr>
          <w:rFonts w:hint="eastAsia" w:ascii="仿宋_GB2312" w:hAnsi="仿宋_GB2312" w:eastAsia="仿宋_GB2312" w:cs="仿宋_GB2312"/>
          <w:color w:val="000000"/>
          <w:sz w:val="32"/>
          <w:szCs w:val="32"/>
        </w:rPr>
        <w:t xml:space="preserve">38.92</w:t>
      </w:r>
      <w:r>
        <w:rPr>
          <w:rFonts w:hint="eastAsia" w:eastAsia="仿宋_GB2312" w:cs="仿宋_GB2312"/>
          <w:sz w:val="32"/>
          <w:szCs w:val="32"/>
        </w:rPr>
        <w:t xml:space="preserve">亿元，其中，已开工建设的</w:t>
      </w:r>
      <w:r>
        <w:rPr>
          <w:rFonts w:hint="eastAsia" w:ascii="仿宋_GB2312" w:hAnsi="仿宋_GB2312" w:eastAsia="仿宋_GB2312" w:cs="仿宋_GB2312"/>
          <w:color w:val="000000"/>
          <w:sz w:val="32"/>
          <w:szCs w:val="32"/>
        </w:rPr>
        <w:t xml:space="preserve">S16</w:t>
      </w:r>
      <w:r>
        <w:rPr>
          <w:rFonts w:hint="eastAsia" w:eastAsia="仿宋_GB2312" w:cs="仿宋_GB2312"/>
          <w:sz w:val="32"/>
          <w:szCs w:val="32"/>
        </w:rPr>
        <w:t xml:space="preserve">合周高速公路寿县刘岗至保义段项目，实现我市独立投资建设高速公路“零”的突破。组建淮粮控股（集团）有限公司和文化旅游投资公司。安徽惠群城市物业有限公司等七家事业单位完成转企改制工作，由市国资委履行出资人职责。</w:t>
      </w:r>
      <w:r>
        <w:rPr>
          <w:rFonts w:ascii="Calibri" w:hAnsi="Calibri"/>
          <w:szCs w:val="22"/>
        </w:rPr>
      </w:r>
      <w:r>
        <w:rPr>
          <w:rFonts w:ascii="Calibri" w:hAnsi="Calibri"/>
          <w:szCs w:val="22"/>
        </w:rPr>
      </w:r>
    </w:p>
    <w:p>
      <w:pPr>
        <w:pStyle w:val="632"/>
        <w:keepNext w:val="false"/>
        <w:keepLines w:val="false"/>
        <w:pageBreakBefore w:val="false"/>
        <w:widowControl w:val="false"/>
        <w:pBdr/>
        <w:spacing w:line="600" w:lineRule="exact"/>
        <w:ind w:firstLine="643"/>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 xml:space="preserve">（二）金融企业国有资产</w:t>
      </w:r>
      <w:r>
        <w:rPr>
          <w:rFonts w:hint="eastAsia" w:ascii="楷体_GB2312" w:hAnsi="楷体_GB2312" w:eastAsia="楷体_GB2312" w:cs="楷体_GB2312"/>
          <w:b/>
          <w:bCs/>
          <w:color w:val="000000"/>
          <w:sz w:val="32"/>
          <w:szCs w:val="32"/>
        </w:rPr>
      </w:r>
      <w:r>
        <w:rPr>
          <w:rFonts w:hint="eastAsia" w:ascii="楷体_GB2312" w:hAnsi="楷体_GB2312" w:eastAsia="楷体_GB2312" w:cs="楷体_GB2312"/>
          <w:b/>
          <w:bCs/>
          <w:color w:val="000000"/>
          <w:sz w:val="32"/>
          <w:szCs w:val="32"/>
        </w:rPr>
      </w:r>
    </w:p>
    <w:p>
      <w:pPr>
        <w:pStyle w:val="632"/>
        <w:keepNext w:val="false"/>
        <w:keepLines w:val="false"/>
        <w:pageBreakBefore w:val="false"/>
        <w:widowControl w:val="false"/>
        <w:pBdr/>
        <w:spacing w:line="600" w:lineRule="exact"/>
        <w:ind w:firstLine="643"/>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1.促进健康发展，全面提升担保机构监督管理水平。</w:t>
      </w:r>
      <w:r>
        <w:rPr>
          <w:rFonts w:hint="eastAsia" w:ascii="仿宋_GB2312" w:hAnsi="Calibri" w:eastAsia="仿宋_GB2312"/>
          <w:sz w:val="32"/>
          <w:szCs w:val="32"/>
        </w:rPr>
        <w:t xml:space="preserve">严格落实《安徽省地方金融条例》《融资担保公司监督管理条例》等规定，通过采取现场检查、“双随机、一公开”联合抽查及线上监测等多种方式对全市担保机构业务经营、财务报表、资金使用等情况实行全面监管，</w:t>
      </w:r>
      <w:r>
        <w:rPr>
          <w:rFonts w:hint="eastAsia" w:ascii="仿宋_GB2312" w:hAnsi="仿宋_GB2312" w:eastAsia="仿宋_GB2312" w:cs="仿宋_GB2312"/>
          <w:color w:val="000000"/>
          <w:sz w:val="32"/>
          <w:szCs w:val="32"/>
        </w:rPr>
        <w:t xml:space="preserve">促进融资担保机构持续健康发展。开展年度绩效评价工作，落实绩效评价结果与政府性融资担保机构获得政策扶持、资金支持、薪酬激励等情况挂钩机制，引导政府性融资担保机构坚守准公共定位，支持实体经济发展。</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 xml:space="preserve">2.强化服务保障，充分发挥担保机构融资增信作用。</w:t>
      </w:r>
      <w:r>
        <w:rPr>
          <w:rFonts w:hint="eastAsia" w:ascii="仿宋_GB2312" w:hAnsi="仿宋_GB2312" w:eastAsia="仿宋_GB2312" w:cs="仿宋_GB2312"/>
          <w:color w:val="000000"/>
          <w:sz w:val="32"/>
          <w:szCs w:val="32"/>
        </w:rPr>
        <w:t xml:space="preserve">推动融资担保机构坚守主业、聚焦支小支农，不断提升政银担业务规模，积极服务小微企业和“三农”主体。2022年末，全市“政银担”业务在保余额37.41亿元，全年业务发生额24.36亿元</w:t>
      </w:r>
      <w:r>
        <w:rPr>
          <w:rFonts w:hint="eastAsia" w:ascii="仿宋_GB2312" w:hAnsi="仿宋_GB2312" w:eastAsia="仿宋_GB2312" w:cs="仿宋_GB2312"/>
          <w:color w:val="000000"/>
          <w:sz w:val="32"/>
          <w:szCs w:val="32"/>
          <w:lang w:eastAsia="zh-CN"/>
        </w:rPr>
        <w:t xml:space="preserve">。</w:t>
      </w:r>
      <w:r>
        <w:rPr>
          <w:rFonts w:hint="eastAsia" w:ascii="仿宋_GB2312" w:hAnsi="仿宋_GB2312" w:eastAsia="仿宋_GB2312" w:cs="仿宋_GB2312"/>
          <w:color w:val="000000"/>
          <w:sz w:val="32"/>
          <w:szCs w:val="32"/>
        </w:rPr>
        <w:t xml:space="preserve">开展政府性融资担保机构“进园区、助企业、促发展”阶段性活动，</w:t>
      </w:r>
      <w:r>
        <w:rPr>
          <w:rFonts w:hint="eastAsia" w:ascii="仿宋_GB2312" w:hAnsi="仿宋_GB2312" w:eastAsia="仿宋_GB2312" w:cs="仿宋_GB2312"/>
          <w:sz w:val="32"/>
          <w:szCs w:val="32"/>
        </w:rPr>
        <w:t xml:space="preserve">对接园区18个，走访企业74家，</w:t>
      </w:r>
      <w:r>
        <w:rPr>
          <w:rFonts w:hint="eastAsia" w:ascii="仿宋_GB2312" w:hAnsi="仿宋_GB2312" w:eastAsia="仿宋_GB2312" w:cs="仿宋_GB2312"/>
          <w:color w:val="000000"/>
          <w:sz w:val="32"/>
          <w:szCs w:val="32"/>
        </w:rPr>
        <w:t xml:space="preserve">推动担保机构主动对接园区企业，根据企业特征量身定制担保方案，探索开展</w:t>
      </w:r>
      <w:r>
        <w:rPr>
          <w:rFonts w:hint="eastAsia" w:ascii="仿宋_GB2312" w:hAnsi="仿宋_GB2312" w:eastAsia="仿宋_GB2312" w:cs="仿宋_GB2312"/>
          <w:sz w:val="32"/>
          <w:szCs w:val="32"/>
        </w:rPr>
        <w:t xml:space="preserve">免抵押“科技贷”担保、专利权</w:t>
      </w:r>
      <w:r>
        <w:rPr>
          <w:rFonts w:ascii="仿宋_GB2312" w:hAnsi="仿宋_GB2312" w:eastAsia="仿宋_GB2312" w:cs="仿宋_GB2312"/>
          <w:sz w:val="32"/>
          <w:szCs w:val="32"/>
        </w:rPr>
        <w:t xml:space="preserve">质押反担保</w:t>
      </w:r>
      <w:r>
        <w:rPr>
          <w:rFonts w:hint="eastAsia" w:ascii="仿宋_GB2312" w:hAnsi="仿宋_GB2312" w:eastAsia="仿宋_GB2312" w:cs="仿宋_GB2312"/>
          <w:sz w:val="32"/>
          <w:szCs w:val="32"/>
        </w:rPr>
        <w:t xml:space="preserve">等业务。活动期间，共为27家企业提供担保贷款1.55亿元，有效满足企业补充流动资金、扩大生产规模、技术升级改造等方面的需求。</w:t>
      </w:r>
      <w:r>
        <w:rPr>
          <w:rFonts w:ascii="仿宋_GB2312" w:hAnsi="仿宋_GB2312" w:eastAsia="仿宋_GB2312" w:cs="仿宋_GB2312"/>
          <w:sz w:val="32"/>
          <w:szCs w:val="32"/>
        </w:rPr>
      </w:r>
      <w:r>
        <w:rPr>
          <w:rFonts w:ascii="仿宋_GB2312" w:hAnsi="仿宋_GB2312" w:eastAsia="仿宋_GB2312" w:cs="仿宋_GB2312"/>
          <w:sz w:val="32"/>
          <w:szCs w:val="32"/>
        </w:rPr>
      </w:r>
    </w:p>
    <w:p>
      <w:pPr>
        <w:pStyle w:val="632"/>
        <w:keepNext w:val="false"/>
        <w:keepLines w:val="false"/>
        <w:pageBreakBefore w:val="false"/>
        <w:widowControl w:val="false"/>
        <w:pBdr/>
        <w:spacing w:line="600" w:lineRule="exact"/>
        <w:ind w:firstLine="643"/>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3.加强风险管控，持续提升担保机构防范化解风险能力。</w:t>
      </w:r>
      <w:r>
        <w:rPr>
          <w:rFonts w:hint="eastAsia" w:ascii="仿宋_GB2312" w:hAnsi="仿宋_GB2312" w:eastAsia="仿宋_GB2312" w:cs="仿宋_GB2312"/>
          <w:color w:val="000000"/>
          <w:sz w:val="32"/>
          <w:szCs w:val="32"/>
        </w:rPr>
        <w:t xml:space="preserve">开展风险排查整改，强化跟踪督导检查，推动担保机构形成风险防控长效机制，帮助担保机构处置化解风险。开展政府性融资担保机构追偿挽损专项行动，通过协议还款、依法起诉、债权转让等方式，对代偿项目进行全力追偿。2022年，全市政府性融资担保机构共收回代偿金额</w:t>
      </w:r>
      <w:r>
        <w:rPr>
          <w:rFonts w:hint="eastAsia" w:ascii="仿宋_GB2312" w:hAnsi="仿宋_GB2312" w:eastAsia="仿宋_GB2312" w:cs="仿宋_GB2312"/>
          <w:sz w:val="32"/>
          <w:szCs w:val="32"/>
        </w:rPr>
        <w:t xml:space="preserve">2.56</w:t>
      </w:r>
      <w:r>
        <w:rPr>
          <w:rFonts w:hint="eastAsia" w:ascii="仿宋_GB2312" w:hAnsi="仿宋_GB2312" w:eastAsia="仿宋_GB2312" w:cs="仿宋_GB2312"/>
          <w:color w:val="000000"/>
          <w:sz w:val="32"/>
          <w:szCs w:val="32"/>
        </w:rPr>
        <w:t xml:space="preserve">亿元，其中市担保公司收回</w:t>
      </w:r>
      <w:r>
        <w:rPr>
          <w:rFonts w:hint="eastAsia" w:ascii="仿宋_GB2312" w:hAnsi="仿宋_GB2312" w:eastAsia="仿宋_GB2312" w:cs="仿宋_GB2312"/>
          <w:sz w:val="32"/>
          <w:szCs w:val="32"/>
        </w:rPr>
        <w:t xml:space="preserve">9634</w:t>
      </w:r>
      <w:r>
        <w:rPr>
          <w:rFonts w:hint="eastAsia" w:ascii="仿宋_GB2312" w:hAnsi="仿宋_GB2312" w:eastAsia="仿宋_GB2312" w:cs="仿宋_GB2312"/>
          <w:color w:val="000000"/>
          <w:sz w:val="32"/>
          <w:szCs w:val="32"/>
        </w:rPr>
        <w:t xml:space="preserve">万元。开展融资担保不良资产核销攻坚行动，全市</w:t>
      </w:r>
      <w:r>
        <w:rPr>
          <w:rFonts w:hint="eastAsia" w:ascii="仿宋_GB2312" w:hAnsi="仿宋_GB2312" w:eastAsia="仿宋_GB2312" w:cs="仿宋_GB2312"/>
          <w:sz w:val="32"/>
          <w:szCs w:val="32"/>
        </w:rPr>
        <w:t xml:space="preserve">5</w:t>
      </w:r>
      <w:r>
        <w:rPr>
          <w:rFonts w:hint="eastAsia" w:ascii="仿宋_GB2312" w:hAnsi="仿宋_GB2312" w:eastAsia="仿宋_GB2312" w:cs="仿宋_GB2312"/>
          <w:color w:val="000000"/>
          <w:sz w:val="32"/>
          <w:szCs w:val="32"/>
        </w:rPr>
        <w:t xml:space="preserve">家担保机构依据《金融企业呆账核销管理办法》核销呆账</w:t>
      </w:r>
      <w:r>
        <w:rPr>
          <w:rFonts w:hint="eastAsia" w:ascii="仿宋_GB2312" w:hAnsi="仿宋_GB2312" w:eastAsia="仿宋_GB2312" w:cs="仿宋_GB2312"/>
          <w:sz w:val="32"/>
          <w:szCs w:val="32"/>
        </w:rPr>
        <w:t xml:space="preserve">1.47</w:t>
      </w:r>
      <w:r>
        <w:rPr>
          <w:rFonts w:hint="eastAsia" w:ascii="仿宋_GB2312" w:hAnsi="仿宋_GB2312" w:eastAsia="仿宋_GB2312" w:cs="仿宋_GB2312"/>
          <w:color w:val="000000"/>
          <w:sz w:val="32"/>
          <w:szCs w:val="32"/>
        </w:rPr>
        <w:t xml:space="preserve">亿元，推动担保机构存量风险化解。</w:t>
      </w:r>
      <w:r>
        <w:rPr>
          <w:rFonts w:ascii="仿宋_GB2312" w:hAnsi="仿宋_GB2312" w:eastAsia="仿宋_GB2312" w:cs="仿宋_GB2312"/>
          <w:color w:val="000000"/>
          <w:sz w:val="32"/>
          <w:szCs w:val="32"/>
        </w:rPr>
      </w:r>
      <w:r>
        <w:rPr>
          <w:rFonts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3"/>
        <w:rPr>
          <w:rFonts w:hint="eastAsia" w:ascii="楷体_GB2312" w:hAnsi="楷体_GB2312" w:eastAsia="楷体_GB2312" w:cs="楷体_GB2312"/>
          <w:bCs/>
          <w:color w:val="000000"/>
          <w:sz w:val="32"/>
          <w:szCs w:val="32"/>
        </w:rPr>
      </w:pPr>
      <w:r>
        <w:rPr>
          <w:rFonts w:hint="eastAsia" w:ascii="楷体_GB2312" w:hAnsi="楷体_GB2312" w:eastAsia="楷体_GB2312" w:cs="楷体_GB2312"/>
          <w:b/>
          <w:bCs/>
          <w:color w:val="000000"/>
          <w:sz w:val="32"/>
          <w:szCs w:val="32"/>
        </w:rPr>
        <w:t xml:space="preserve">（三）行政事业性国有资产</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632"/>
        <w:keepNext w:val="false"/>
        <w:keepLines w:val="false"/>
        <w:pageBreakBefore w:val="false"/>
        <w:widowControl w:val="false"/>
        <w:pBdr/>
        <w:spacing w:line="600" w:lineRule="exact"/>
        <w:ind w:firstLine="643"/>
        <w:rPr>
          <w:rFonts w:hint="eastAsia" w:ascii="Calibri" w:hAnsi="Calibri"/>
          <w:szCs w:val="22"/>
        </w:rPr>
      </w:pPr>
      <w:r>
        <w:rPr>
          <w:rFonts w:hint="eastAsia" w:ascii="仿宋_GB2312" w:hAnsi="仿宋_GB2312" w:eastAsia="仿宋_GB2312" w:cs="仿宋_GB2312"/>
          <w:b/>
          <w:bCs/>
          <w:color w:val="000000"/>
          <w:sz w:val="32"/>
          <w:szCs w:val="32"/>
        </w:rPr>
        <w:t xml:space="preserve">1.夯实资产管理基础，促进提升资产管理水平。</w:t>
      </w:r>
      <w:r>
        <w:rPr>
          <w:rFonts w:hint="eastAsia" w:ascii="仿宋_GB2312" w:hAnsi="仿宋_GB2312" w:eastAsia="仿宋_GB2312" w:cs="仿宋_GB2312"/>
          <w:color w:val="000000"/>
          <w:sz w:val="32"/>
          <w:szCs w:val="32"/>
        </w:rPr>
        <w:t xml:space="preserve">加强政策宣传，贯彻《行政事业性国有资产管理条例》，组织开展全市预算单位政策解读轮训。完善资产处置和出租事前决策、报批、公开竞价等机制，进一步规范处置和出租管理。强化信息管理支撑，积极推进资产管理融入预算一体化建设，实现资产管理与预算编制相衔接。完成公路资产专项清查和市政基础设施摸底工作，突破公共基础设施资产计价难的瓶颈，实现公路资产全部入账核算，为推动公共基础设施资产规范化管理和实现国有资产报告全口径、全覆盖奠定了基础。</w:t>
      </w:r>
      <w:r>
        <w:rPr>
          <w:rFonts w:hint="eastAsia" w:ascii="Calibri" w:hAnsi="Calibri"/>
          <w:szCs w:val="22"/>
        </w:rPr>
      </w:r>
      <w:r>
        <w:rPr>
          <w:rFonts w:hint="eastAsia" w:ascii="Calibri" w:hAnsi="Calibri"/>
          <w:szCs w:val="22"/>
        </w:rPr>
      </w:r>
    </w:p>
    <w:p>
      <w:pPr>
        <w:pStyle w:val="632"/>
        <w:keepNext w:val="false"/>
        <w:keepLines w:val="false"/>
        <w:pageBreakBefore w:val="false"/>
        <w:widowControl w:val="false"/>
        <w:pBdr/>
        <w:spacing w:line="600" w:lineRule="exact"/>
        <w:ind w:firstLine="643"/>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2.加强资产盘活利用，促进发挥资产管理效益。</w:t>
      </w:r>
      <w:r>
        <w:rPr>
          <w:rFonts w:hint="eastAsia" w:ascii="仿宋_GB2312" w:hAnsi="仿宋_GB2312" w:eastAsia="仿宋_GB2312" w:cs="仿宋_GB2312"/>
          <w:color w:val="000000"/>
          <w:sz w:val="32"/>
          <w:szCs w:val="32"/>
        </w:rPr>
        <w:t xml:space="preserve">落实上级部门关于盘活存量资产扩大有效投资意见精神，统筹盘活利用市直存量房产</w:t>
      </w:r>
      <w:r>
        <w:rPr>
          <w:rFonts w:hint="eastAsia" w:ascii="仿宋_GB2312" w:hAnsi="仿宋_GB2312" w:eastAsia="仿宋_GB2312" w:cs="仿宋_GB2312"/>
          <w:color w:val="000000"/>
          <w:sz w:val="32"/>
          <w:szCs w:val="32"/>
          <w:lang w:val="en-US" w:eastAsia="zh-CN"/>
        </w:rPr>
        <w:t xml:space="preserve">,</w:t>
      </w:r>
      <w:r>
        <w:rPr>
          <w:rFonts w:hint="eastAsia" w:ascii="仿宋_GB2312" w:hAnsi="仿宋_GB2312" w:eastAsia="仿宋_GB2312" w:cs="仿宋_GB2312"/>
          <w:color w:val="000000"/>
          <w:sz w:val="32"/>
          <w:szCs w:val="32"/>
        </w:rPr>
        <w:t xml:space="preserve">通过市场化处置闲置房产</w:t>
      </w:r>
      <w:r>
        <w:rPr>
          <w:rFonts w:hint="eastAsia" w:ascii="仿宋_GB2312" w:hAnsi="仿宋_GB2312" w:eastAsia="仿宋_GB2312" w:cs="仿宋_GB2312"/>
          <w:sz w:val="32"/>
          <w:szCs w:val="32"/>
        </w:rPr>
        <w:t xml:space="preserve">159</w:t>
      </w:r>
      <w:r>
        <w:rPr>
          <w:rFonts w:hint="eastAsia" w:ascii="仿宋_GB2312" w:hAnsi="仿宋_GB2312" w:eastAsia="仿宋_GB2312" w:cs="仿宋_GB2312"/>
          <w:color w:val="000000"/>
          <w:sz w:val="32"/>
          <w:szCs w:val="32"/>
        </w:rPr>
        <w:t xml:space="preserve">处，实现收益</w:t>
      </w:r>
      <w:r>
        <w:rPr>
          <w:rFonts w:hint="eastAsia" w:ascii="仿宋_GB2312" w:hAnsi="仿宋_GB2312" w:eastAsia="仿宋_GB2312" w:cs="仿宋_GB2312"/>
          <w:sz w:val="32"/>
          <w:szCs w:val="32"/>
        </w:rPr>
        <w:t xml:space="preserve">1.08</w:t>
      </w:r>
      <w:r>
        <w:rPr>
          <w:rFonts w:hint="eastAsia" w:ascii="仿宋_GB2312" w:hAnsi="仿宋_GB2312" w:eastAsia="仿宋_GB2312" w:cs="仿宋_GB2312"/>
          <w:color w:val="000000"/>
          <w:sz w:val="32"/>
          <w:szCs w:val="32"/>
        </w:rPr>
        <w:t xml:space="preserve">亿元；完成市发改委等</w:t>
      </w:r>
      <w:r>
        <w:rPr>
          <w:rFonts w:hint="eastAsia" w:ascii="仿宋_GB2312" w:hAnsi="仿宋_GB2312" w:eastAsia="仿宋_GB2312" w:cs="仿宋_GB2312"/>
          <w:sz w:val="32"/>
          <w:szCs w:val="32"/>
        </w:rPr>
        <w:t xml:space="preserve">5</w:t>
      </w:r>
      <w:r>
        <w:rPr>
          <w:rFonts w:hint="eastAsia" w:ascii="仿宋_GB2312" w:hAnsi="仿宋_GB2312" w:eastAsia="仿宋_GB2312" w:cs="仿宋_GB2312"/>
          <w:color w:val="000000"/>
          <w:sz w:val="32"/>
          <w:szCs w:val="32"/>
        </w:rPr>
        <w:t xml:space="preserve">部门</w:t>
      </w:r>
      <w:r>
        <w:rPr>
          <w:rFonts w:hint="eastAsia" w:ascii="仿宋_GB2312" w:hAnsi="仿宋_GB2312" w:eastAsia="仿宋_GB2312" w:cs="仿宋_GB2312"/>
          <w:sz w:val="32"/>
          <w:szCs w:val="32"/>
        </w:rPr>
        <w:t xml:space="preserve">130</w:t>
      </w:r>
      <w:r>
        <w:rPr>
          <w:rFonts w:hint="eastAsia" w:ascii="仿宋_GB2312" w:hAnsi="仿宋_GB2312" w:eastAsia="仿宋_GB2312" w:cs="仿宋_GB2312"/>
          <w:color w:val="000000"/>
          <w:sz w:val="32"/>
          <w:szCs w:val="32"/>
        </w:rPr>
        <w:t xml:space="preserve">套经营性房产注入工作，切实增强建发集团规模实力。成立市级公物仓，研究制定管理办法，逐步将单位低效运转、长期闲置资产纳入公物仓管理范围，实现资产共享共用和循环使用，节约财政资金，目前入仓资产220件，调剂55件。完成3批市级涉案存量罚没物品集中统一处置，实现收益265万元，有效维护国有资产权益。</w:t>
      </w:r>
      <w:r>
        <w:rPr>
          <w:rFonts w:ascii="仿宋_GB2312" w:hAnsi="仿宋_GB2312" w:eastAsia="仿宋_GB2312" w:cs="仿宋_GB2312"/>
          <w:color w:val="000000"/>
          <w:sz w:val="32"/>
          <w:szCs w:val="32"/>
        </w:rPr>
      </w:r>
      <w:r>
        <w:rPr>
          <w:rFonts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3"/>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3.服务经济发展大局，凸显资产管理改革红利。</w:t>
      </w:r>
      <w:r>
        <w:rPr>
          <w:rFonts w:hint="eastAsia" w:ascii="仿宋_GB2312" w:hAnsi="仿宋_GB2312" w:eastAsia="仿宋_GB2312" w:cs="仿宋_GB2312"/>
          <w:color w:val="000000"/>
          <w:sz w:val="32"/>
          <w:szCs w:val="32"/>
        </w:rPr>
        <w:t xml:space="preserve">落实政企分开、政资分开以及国有资本所有权与企业经营权分离的改革要求，将市级45个党政机关和事业单位经营性国有资产纳入集中统一监管，以管资本的方式，盘活挖潜存量资产，促进资产优化布局、高效配置。持续深化事业单位公车制度改革，坚持总量控制和编制化管理，从严控制新增车辆编制。严格落实疫情防控政策，2022年，全市行政事业单位累计减免房租1812万元，惠及1124户小微企业和个体工商户。</w:t>
      </w:r>
      <w:r>
        <w:rPr>
          <w:rFonts w:ascii="仿宋_GB2312" w:hAnsi="仿宋_GB2312" w:eastAsia="仿宋_GB2312" w:cs="仿宋_GB2312"/>
          <w:color w:val="000000"/>
          <w:sz w:val="32"/>
          <w:szCs w:val="32"/>
        </w:rPr>
      </w:r>
      <w:r>
        <w:rPr>
          <w:rFonts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3"/>
        <w:rPr>
          <w:rFonts w:hint="eastAsia" w:ascii="楷体_GB2312" w:hAnsi="楷体_GB2312" w:eastAsia="楷体_GB2312" w:cs="楷体_GB2312"/>
          <w:bCs/>
          <w:color w:val="000000"/>
          <w:sz w:val="32"/>
          <w:szCs w:val="32"/>
        </w:rPr>
      </w:pPr>
      <w:r>
        <w:rPr>
          <w:rFonts w:hint="eastAsia" w:ascii="楷体_GB2312" w:hAnsi="楷体_GB2312" w:eastAsia="楷体_GB2312" w:cs="楷体_GB2312"/>
          <w:b/>
          <w:bCs/>
          <w:color w:val="000000"/>
          <w:sz w:val="32"/>
          <w:szCs w:val="32"/>
        </w:rPr>
        <w:t xml:space="preserve">（四）国有自然资源</w:t>
      </w:r>
      <w:r>
        <w:rPr>
          <w:rFonts w:hint="eastAsia" w:ascii="楷体_GB2312" w:hAnsi="楷体_GB2312" w:eastAsia="楷体_GB2312" w:cs="楷体_GB2312"/>
          <w:bCs/>
          <w:color w:val="000000"/>
          <w:sz w:val="32"/>
          <w:szCs w:val="32"/>
        </w:rPr>
      </w:r>
      <w:r>
        <w:rPr>
          <w:rFonts w:hint="eastAsia" w:ascii="楷体_GB2312" w:hAnsi="楷体_GB2312" w:eastAsia="楷体_GB2312" w:cs="楷体_GB2312"/>
          <w:bCs/>
          <w:color w:val="000000"/>
          <w:sz w:val="32"/>
          <w:szCs w:val="32"/>
        </w:rPr>
      </w:r>
    </w:p>
    <w:p>
      <w:pPr>
        <w:pStyle w:val="632"/>
        <w:keepNext w:val="false"/>
        <w:keepLines w:val="false"/>
        <w:pageBreakBefore w:val="false"/>
        <w:widowControl w:val="false"/>
        <w:pBdr/>
        <w:spacing w:line="600" w:lineRule="exact"/>
        <w:ind w:firstLine="643"/>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1.不断夯实自然资源管理基础工作。</w:t>
      </w:r>
      <w:r>
        <w:rPr>
          <w:rFonts w:hint="eastAsia" w:ascii="仿宋_GB2312" w:hAnsi="仿宋_GB2312" w:eastAsia="仿宋_GB2312" w:cs="仿宋_GB2312"/>
          <w:color w:val="000000"/>
          <w:sz w:val="32"/>
          <w:szCs w:val="32"/>
        </w:rPr>
        <w:t xml:space="preserve">完成2022年度国土变更调查和城市国土空间监测工作。开展《淮南市实景三维中国建设实施方案（2023-2025年）》编制工作。配合开展东淝河等5条河流项目自然资源统一确权登记。加强信息化建设，完成“一张图”综合监管平台数据更新和“一张图”小助手三区三线数据入库。</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3"/>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2.强化落实自然资源保护职责。</w:t>
      </w:r>
      <w:r>
        <w:rPr>
          <w:rFonts w:hint="eastAsia" w:ascii="仿宋_GB2312" w:hAnsi="仿宋_GB2312" w:eastAsia="仿宋_GB2312" w:cs="仿宋_GB2312"/>
          <w:color w:val="000000"/>
          <w:sz w:val="32"/>
          <w:szCs w:val="32"/>
        </w:rPr>
        <w:t xml:space="preserve">制定《淮南市耕地保护问题专项监督清理整治工作实施方案》，推进耕地保护综合整治，新增耕地立项10522亩。完成矿产资源储量和开发利用统计工作，配合开展矿业权人勘查开采信息核查及矿产资源开发利用水平评估，提升矿产资源节约集约利用水平。完成谢家集区</w:t>
      </w:r>
      <w:r>
        <w:rPr>
          <w:rFonts w:hint="eastAsia" w:ascii="仿宋_GB2312" w:hAnsi="仿宋_GB2312" w:eastAsia="仿宋_GB2312" w:cs="仿宋_GB2312"/>
          <w:color w:val="000000"/>
          <w:sz w:val="32"/>
          <w:szCs w:val="32"/>
          <w:lang w:eastAsia="zh-CN"/>
        </w:rPr>
        <w:t xml:space="preserve">县</w:t>
      </w:r>
      <w:r>
        <w:rPr>
          <w:rFonts w:hint="eastAsia" w:ascii="仿宋_GB2312" w:hAnsi="仿宋_GB2312" w:eastAsia="仿宋_GB2312" w:cs="仿宋_GB2312"/>
          <w:color w:val="000000"/>
          <w:sz w:val="32"/>
          <w:szCs w:val="32"/>
        </w:rPr>
        <w:t xml:space="preserve">域节水型社会达标建设，2所节水型高校、2家节水型企业通过省级验收，淮南联合大学入选全国节水型高校典型案例。</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3"/>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3.进一步服务城市绿色转型发展。</w:t>
      </w:r>
      <w:r>
        <w:rPr>
          <w:rFonts w:hint="eastAsia" w:ascii="仿宋_GB2312" w:hAnsi="仿宋_GB2312" w:eastAsia="仿宋_GB2312" w:cs="仿宋_GB2312"/>
          <w:color w:val="000000"/>
          <w:sz w:val="32"/>
          <w:szCs w:val="32"/>
        </w:rPr>
        <w:t xml:space="preserve">强化规划引领管控，组织编制《淮南市村庄分类布局国土空间专项规划（2022-2035年）》， 完成28个控制性详细规划（含动态维护方案）成果审查。聚焦重大项目，加强重点项目用地要素保障，初步完成自然资源要素“土地超市”平台搭建，方便企业自主选地。强化生态修复与保护，督促指导采煤企业开展采煤沉陷区生态修复6982亩，完成对《淮南市国土空间生态修复规划（2021-2035 年)》征求意见。</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0"/>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rPr>
        <w:t xml:space="preserve">三、2022年度市本级预算执行和其他财政收支审计反映问题整改落实</w:t>
      </w:r>
      <w:r>
        <w:rPr>
          <w:rFonts w:hint="eastAsia" w:ascii="黑体" w:hAnsi="黑体" w:eastAsia="黑体" w:cs="黑体"/>
          <w:bCs/>
          <w:color w:val="000000"/>
          <w:sz w:val="32"/>
          <w:szCs w:val="32"/>
          <w:lang w:eastAsia="zh-CN"/>
        </w:rPr>
        <w:t xml:space="preserve">情况</w:t>
      </w:r>
      <w:r>
        <w:rPr>
          <w:rFonts w:hint="eastAsia" w:ascii="黑体" w:hAnsi="黑体" w:eastAsia="黑体" w:cs="黑体"/>
          <w:bCs/>
          <w:color w:val="000000"/>
          <w:sz w:val="32"/>
          <w:szCs w:val="32"/>
          <w:lang w:eastAsia="zh-CN"/>
        </w:rPr>
      </w:r>
      <w:r>
        <w:rPr>
          <w:rFonts w:hint="eastAsia" w:ascii="黑体" w:hAnsi="黑体" w:eastAsia="黑体" w:cs="黑体"/>
          <w:bCs/>
          <w:color w:val="000000"/>
          <w:sz w:val="32"/>
          <w:szCs w:val="32"/>
          <w:lang w:eastAsia="zh-CN"/>
        </w:rPr>
      </w:r>
    </w:p>
    <w:p>
      <w:pPr>
        <w:pStyle w:val="632"/>
        <w:keepNext w:val="false"/>
        <w:keepLines w:val="false"/>
        <w:pageBreakBefore w:val="false"/>
        <w:widowControl w:val="false"/>
        <w:pBdr/>
        <w:spacing w:line="600" w:lineRule="exact"/>
        <w:ind w:firstLine="643"/>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 xml:space="preserve">（一）行政事业性国有资产管理审计整改落实情况。</w:t>
      </w:r>
      <w:r>
        <w:rPr>
          <w:rFonts w:hint="eastAsia" w:ascii="仿宋_GB2312" w:hAnsi="仿宋_GB2312" w:eastAsia="仿宋_GB2312" w:cs="仿宋_GB2312"/>
          <w:color w:val="000000"/>
          <w:sz w:val="32"/>
          <w:szCs w:val="32"/>
        </w:rPr>
        <w:t xml:space="preserve">各责任单位严格按照我市行政事业性国有资产处置、出租及公物仓等管理规定，开展内部集体决策并履行审批手续后，进行无偿划转、报废或拍租，并已及时核销资产，实现账实相符。审计反映的两方面问题已全部整改完成。</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3"/>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 xml:space="preserve">（二）国有自然资源</w:t>
      </w:r>
      <w:r>
        <w:rPr>
          <w:rFonts w:hint="eastAsia" w:ascii="楷体_GB2312" w:hAnsi="楷体_GB2312" w:eastAsia="楷体_GB2312" w:cs="楷体_GB2312"/>
          <w:b/>
          <w:bCs/>
          <w:color w:val="000000"/>
          <w:sz w:val="32"/>
          <w:szCs w:val="32"/>
          <w:lang w:eastAsia="zh-CN"/>
        </w:rPr>
        <w:t xml:space="preserve">管理</w:t>
      </w:r>
      <w:r>
        <w:rPr>
          <w:rFonts w:hint="eastAsia" w:ascii="楷体_GB2312" w:hAnsi="楷体_GB2312" w:eastAsia="楷体_GB2312" w:cs="楷体_GB2312"/>
          <w:b/>
          <w:bCs/>
          <w:color w:val="000000"/>
          <w:sz w:val="32"/>
          <w:szCs w:val="32"/>
        </w:rPr>
        <w:t xml:space="preserve">审计整改落实情况。</w:t>
      </w:r>
      <w:r>
        <w:rPr>
          <w:rFonts w:hint="eastAsia" w:ascii="仿宋_GB2312" w:hAnsi="仿宋_GB2312" w:eastAsia="仿宋_GB2312" w:cs="仿宋_GB2312"/>
          <w:color w:val="000000"/>
          <w:sz w:val="32"/>
          <w:szCs w:val="32"/>
        </w:rPr>
        <w:t xml:space="preserve">加强矿产资源勘查、开发利用和保护，按照《矿产资源规划编制实施办法》等要求，编制完成《淮南市矿产资源规划（2021-2025年）》。提高土地出让中介服务的市场化程度，通过公开招标建立拍卖公司库，采取摇号方式确定每次土地出让的拍卖公司。建立完善地质灾害群测群防体系，制定地质灾害年度防治方案，落实汛期24小时领导带班值班制度，积极开展地质灾害防治宣传培训工作，确保防灾减灾工作落到实处。审计反映的两方面问题已完成整改，另一方面问题已取得阶段性进展，整改工作正在持续推进。</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 xml:space="preserve">四、下一步工作</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3"/>
        <w:rPr>
          <w:rFonts w:hint="eastAsia" w:eastAsia="仿宋_GB2312" w:cs="仿宋_GB2312"/>
          <w:sz w:val="32"/>
          <w:szCs w:val="32"/>
        </w:rPr>
      </w:pPr>
      <w:r>
        <w:rPr>
          <w:rFonts w:hint="eastAsia" w:ascii="楷体_GB2312" w:hAnsi="楷体_GB2312" w:eastAsia="楷体_GB2312" w:cs="楷体_GB2312"/>
          <w:b/>
          <w:bCs/>
          <w:color w:val="000000"/>
          <w:sz w:val="32"/>
          <w:szCs w:val="32"/>
        </w:rPr>
        <w:t xml:space="preserve">（一）全面深化改革提质增效，扎实推进国企高质量发展。</w:t>
      </w:r>
      <w:r>
        <w:rPr>
          <w:rFonts w:hint="eastAsia" w:eastAsia="仿宋_GB2312" w:cs="仿宋_GB2312"/>
          <w:sz w:val="32"/>
          <w:szCs w:val="32"/>
        </w:rPr>
        <w:t xml:space="preserve">一是持续深化实施国资国企</w:t>
      </w:r>
      <w:r>
        <w:rPr>
          <w:rFonts w:hint="eastAsia" w:eastAsia="仿宋_GB2312" w:cs="仿宋_GB2312"/>
          <w:sz w:val="32"/>
          <w:szCs w:val="32"/>
        </w:rPr>
        <w:t xml:space="preserve">改革。通过转化国企改革三年行动成果，建立健全以管资本为主的国资监管机构，形成覆盖全面、权责明确、规范高效的国有资产监管和运营格局。二是加快国有企业市场化转型步伐。优化完善国资布局，加大新型产业投入，优化创新体制机制。三是规范融资行为化解债务风险。按照“遏制增量、化解存量”原则，加强风险源头管控，积极采取偿还、承接、转化等方式妥善化解存量风险。四是加强国有资产监管。完善国有资产监管权力清单和责任清单，建立以市场化运营为导向，区分不同类别资产的市属企业考核体系，引导企业提高实体化运作程度，确保国有资本保值增值。</w:t>
      </w:r>
      <w:r>
        <w:rPr>
          <w:rFonts w:hint="eastAsia" w:eastAsia="仿宋_GB2312" w:cs="仿宋_GB2312"/>
          <w:sz w:val="32"/>
          <w:szCs w:val="32"/>
        </w:rPr>
      </w:r>
      <w:r>
        <w:rPr>
          <w:rFonts w:hint="eastAsia" w:eastAsia="仿宋_GB2312" w:cs="仿宋_GB2312"/>
          <w:sz w:val="32"/>
          <w:szCs w:val="32"/>
        </w:rPr>
      </w:r>
    </w:p>
    <w:p>
      <w:pPr>
        <w:pStyle w:val="632"/>
        <w:keepNext w:val="false"/>
        <w:keepLines w:val="false"/>
        <w:pageBreakBefore w:val="false"/>
        <w:widowControl w:val="false"/>
        <w:pBdr/>
        <w:spacing w:line="600" w:lineRule="exact"/>
        <w:ind w:firstLine="643"/>
        <w:rPr>
          <w:rFonts w:hint="eastAsia" w:ascii="仿宋_GB2312" w:hAnsi="仿宋_GB2312" w:eastAsia="仿宋_GB2312" w:cs="仿宋_GB2312"/>
          <w:sz w:val="32"/>
          <w:szCs w:val="22"/>
        </w:rPr>
      </w:pPr>
      <w:r>
        <w:rPr>
          <w:rFonts w:hint="eastAsia" w:ascii="楷体_GB2312" w:hAnsi="楷体_GB2312" w:eastAsia="楷体_GB2312" w:cs="楷体_GB2312"/>
          <w:b/>
          <w:bCs/>
          <w:color w:val="000000"/>
          <w:sz w:val="32"/>
          <w:szCs w:val="32"/>
        </w:rPr>
        <w:t xml:space="preserve">（二）加快理顺管理体制机制，促进融资担保机构高质量发展。</w:t>
      </w:r>
      <w:r>
        <w:rPr>
          <w:rFonts w:hint="eastAsia" w:ascii="仿宋_GB2312" w:hAnsi="仿宋_GB2312" w:eastAsia="仿宋_GB2312" w:cs="仿宋_GB2312"/>
          <w:color w:val="000000"/>
          <w:sz w:val="32"/>
          <w:szCs w:val="32"/>
        </w:rPr>
        <w:t xml:space="preserve">一是强化担保体系建设。对市担保公司进行提级管理，研究制定《淮南市政府性融资担保体系能力提升三年行动方案（2023-2025年）》。二是发挥担保政策效应。</w:t>
      </w:r>
      <w:r>
        <w:rPr>
          <w:rFonts w:hint="eastAsia" w:ascii="仿宋_GB2312" w:hAnsi="仿宋_GB2312" w:eastAsia="仿宋_GB2312" w:cs="仿宋_GB2312"/>
          <w:sz w:val="32"/>
          <w:szCs w:val="22"/>
        </w:rPr>
        <w:t xml:space="preserve">坚守政府性融资担保机构准公共定位，弥补市场不足，降低担保服务门槛，着力缓解小微企业、“三农”等普惠领域融资难等问题。三是提升业务经营能力。在可持续经营的前提下，保持政府性融资担保机构平均担保费率不高于1%，有效扩大“政银担”融资担保业务量，提高担保放大倍数，国有资本保值增值率保持在100%以上。四是增强风险防控能力。防范化解融资担保领域风险，压降高风险机构存量风险，积极处置历史存量代偿，有效控制年平均代偿率不高于4.5%。</w:t>
      </w:r>
      <w:r>
        <w:rPr>
          <w:rFonts w:hint="eastAsia" w:ascii="仿宋_GB2312" w:hAnsi="仿宋_GB2312" w:eastAsia="仿宋_GB2312" w:cs="仿宋_GB2312"/>
          <w:sz w:val="32"/>
          <w:szCs w:val="22"/>
        </w:rPr>
      </w:r>
      <w:r>
        <w:rPr>
          <w:rFonts w:hint="eastAsia" w:ascii="仿宋_GB2312" w:hAnsi="仿宋_GB2312" w:eastAsia="仿宋_GB2312" w:cs="仿宋_GB2312"/>
          <w:sz w:val="32"/>
          <w:szCs w:val="22"/>
        </w:rPr>
      </w:r>
    </w:p>
    <w:p>
      <w:pPr>
        <w:pStyle w:val="632"/>
        <w:keepNext w:val="false"/>
        <w:keepLines w:val="false"/>
        <w:pageBreakBefore w:val="false"/>
        <w:widowControl w:val="false"/>
        <w:pBdr/>
        <w:spacing w:line="600" w:lineRule="exact"/>
        <w:ind w:firstLine="643"/>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 xml:space="preserve">（三）严格落实国有资产管理，推动行政事业性国有资产高效使用。</w:t>
      </w:r>
      <w:r>
        <w:rPr>
          <w:rFonts w:hint="eastAsia" w:ascii="仿宋_GB2312" w:hAnsi="仿宋_GB2312" w:eastAsia="仿宋_GB2312" w:cs="仿宋_GB2312"/>
          <w:sz w:val="32"/>
          <w:szCs w:val="22"/>
        </w:rPr>
        <w:t xml:space="preserve">一是强化国有资产全过程管理。按照以存量制约增量、以增量调整存量的原则，完善新增资产配置预算编审机制，进一步提升资产配置的科学性与合理性；做好新增资产登记入账、在建工程转固、报废资产及时清理等工作，全面确保账实相符。二是健全低效闲置资产盘活机制。</w:t>
      </w:r>
      <w:r>
        <w:rPr>
          <w:rFonts w:hint="eastAsia" w:ascii="仿宋_GB2312" w:hAnsi="仿宋_GB2312" w:eastAsia="仿宋_GB2312" w:cs="仿宋_GB2312"/>
          <w:color w:val="000000"/>
          <w:sz w:val="32"/>
          <w:szCs w:val="32"/>
        </w:rPr>
        <w:t xml:space="preserve">开展低效闲置资产清理专项行动，摸清国有资产底数，优化资产盘活方式，提升资产运营效率。三是强化低效闲置资产共享共用。严格执行政府过紧日子政策，对低效闲置资产按照应入尽入原则纳入政府公物仓管理，通过实现共享调剂，提升资产使用效益。四是加大监督检查力度。加强监督协同配合，形成财政、审计、纪检监察等监督合力，确保国有资产安全完整。</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3"/>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 xml:space="preserve">（四）健全自然资源管理体系，提升国有自然资源管理质量。</w:t>
      </w:r>
      <w:r>
        <w:rPr>
          <w:rFonts w:hint="eastAsia" w:ascii="仿宋_GB2312" w:hAnsi="仿宋_GB2312" w:eastAsia="仿宋_GB2312" w:cs="仿宋_GB2312"/>
          <w:color w:val="000000"/>
          <w:sz w:val="32"/>
          <w:szCs w:val="32"/>
        </w:rPr>
        <w:t xml:space="preserve">一是认真贯彻落实习近平生态文明思想，扎实推进自然资源管理各项改革任务。二是深入推进自然资源管理体制改革，理顺自然资源相关管理部门职责，建立分工明确、协调联动的国有自然资源监管机制。三是贯彻落实中央和省关于统筹推进自然资源资产产权制度改革要求，推进全民所有自然资源资产所有权委托代理试点工作。四是全面推进国有自然资源资产清查，建立健全国有自然资源资产清单、台账和动态更新机制，准确掌握国有自然资源家底。探索建立科学合理的自然资源价值化核算体系，完善自然资源资产分类管理制度。</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32"/>
        <w:keepNext w:val="false"/>
        <w:keepLines w:val="false"/>
        <w:pageBreakBefore w:val="false"/>
        <w:widowControl w:val="false"/>
        <w:pBd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下一步，我市将坚持以习近平新时代中国特色社会主义思想为指导，以深入贯彻党的二十大精神为主线，在市委坚强领导下，自觉接受市人大监督和指导，不断提升国有资产管理效能，持续发挥好国有资产管理在我市高质量转型发展过程中的积极作用。</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32"/>
        <w:pBdr/>
        <w:spacing w:line="600" w:lineRule="exact"/>
        <w:ind/>
        <w:rPr>
          <w:rFonts w:ascii="Calibri" w:hAnsi="Calibri"/>
          <w:sz w:val="32"/>
          <w:szCs w:val="32"/>
        </w:rPr>
      </w:pPr>
      <w:r>
        <w:rPr>
          <w:rFonts w:ascii="Calibri" w:hAnsi="Calibri"/>
          <w:sz w:val="32"/>
          <w:szCs w:val="32"/>
        </w:rPr>
      </w:r>
      <w:r>
        <w:rPr>
          <w:rFonts w:ascii="Calibri" w:hAnsi="Calibri"/>
          <w:sz w:val="32"/>
          <w:szCs w:val="32"/>
        </w:rPr>
      </w:r>
    </w:p>
    <w:p>
      <w:pPr>
        <w:pStyle w:val="647"/>
        <w:pBdr/>
        <w:spacing/>
        <w:ind/>
        <w:rPr>
          <w:rFonts w:hint="eastAsia"/>
        </w:rPr>
      </w:pPr>
      <w:r>
        <w:rPr>
          <w:rFonts w:hint="eastAsia"/>
        </w:rPr>
      </w:r>
      <w:r>
        <w:rPr>
          <w:rFonts w:hint="eastAsia"/>
        </w:rPr>
      </w:r>
    </w:p>
    <w:sectPr>
      <w:footerReference w:type="default" r:id="rId8"/>
      <w:footnotePr/>
      <w:endnotePr/>
      <w:type w:val="nextPage"/>
      <w:pgSz w:h="16838" w:orient="landscape" w:w="11906"/>
      <w:pgMar w:top="2155" w:right="1690" w:bottom="1871" w:left="1690"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panose1 w:val="02010609060101010101"/>
  </w:font>
  <w:font w:name="楷体_GB2312">
    <w:panose1 w:val="02010609030101010101"/>
  </w:font>
  <w:font w:name="仿宋_GB2312">
    <w:panose1 w:val="02010609030101010101"/>
  </w:font>
  <w:font w:name="方正小标宋简体">
    <w:panose1 w:val="02010601030101010101"/>
  </w:font>
  <w:font w:name="Arial">
    <w:panose1 w:val="020B0604020202020204"/>
  </w:font>
  <w:font w:name="Calibri">
    <w:panose1 w:val="020F0502020204030204"/>
  </w:font>
  <w:font w:name="等线">
    <w:panose1 w:val="020B0604020202020204"/>
  </w:font>
  <w:font w:name="宋体">
    <w:panose1 w:val="02010600030101010101"/>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40"/>
      <w:pBdr/>
      <w:tabs>
        <w:tab w:val="center" w:leader="none" w:pos="4153"/>
        <w:tab w:val="right" w:leader="none" w:pos="8306"/>
      </w:tabs>
      <w:spacing/>
      <w:ind w:left="3570"/>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xml:space="preserve">8</w:t>
    </w:r>
    <w:r>
      <w:rPr>
        <w:rFonts w:ascii="Times New Roman" w:hAnsi="Times New Roman"/>
        <w:sz w:val="28"/>
        <w:szCs w:val="28"/>
      </w:rPr>
      <w:fldChar w:fldCharType="end"/>
    </w:r>
    <w:r>
      <w:rPr>
        <w:rFonts w:hint="eastAsia" w:ascii="Times New Roman" w:hAnsi="Times New Roman"/>
        <w:sz w:val="28"/>
        <w:szCs w:val="28"/>
      </w:rPr>
      <w:t xml:space="preserve"> —</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32"/>
    <w:next w:val="632"/>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32"/>
    <w:next w:val="632"/>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32"/>
    <w:next w:val="632"/>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32"/>
    <w:next w:val="632"/>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32"/>
    <w:next w:val="632"/>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32"/>
    <w:next w:val="632"/>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32"/>
    <w:next w:val="632"/>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32"/>
    <w:next w:val="632"/>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32"/>
    <w:next w:val="632"/>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32"/>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32"/>
    <w:next w:val="632"/>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32"/>
    <w:next w:val="632"/>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32"/>
    <w:next w:val="632"/>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32"/>
    <w:next w:val="632"/>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32"/>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32"/>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32"/>
    <w:next w:val="632"/>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32"/>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32"/>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32"/>
    <w:next w:val="632"/>
    <w:uiPriority w:val="39"/>
    <w:unhideWhenUsed/>
    <w:pPr>
      <w:pBdr/>
      <w:spacing w:after="57"/>
      <w:ind w:right="0" w:firstLine="0" w:left="0"/>
    </w:pPr>
  </w:style>
  <w:style w:type="paragraph" w:styleId="182">
    <w:name w:val="toc 2"/>
    <w:basedOn w:val="632"/>
    <w:next w:val="632"/>
    <w:uiPriority w:val="39"/>
    <w:unhideWhenUsed/>
    <w:pPr>
      <w:pBdr/>
      <w:spacing w:after="57"/>
      <w:ind w:right="0" w:firstLine="0" w:left="283"/>
    </w:pPr>
  </w:style>
  <w:style w:type="paragraph" w:styleId="183">
    <w:name w:val="toc 3"/>
    <w:basedOn w:val="632"/>
    <w:next w:val="632"/>
    <w:uiPriority w:val="39"/>
    <w:unhideWhenUsed/>
    <w:pPr>
      <w:pBdr/>
      <w:spacing w:after="57"/>
      <w:ind w:right="0" w:firstLine="0" w:left="567"/>
    </w:pPr>
  </w:style>
  <w:style w:type="paragraph" w:styleId="184">
    <w:name w:val="toc 4"/>
    <w:basedOn w:val="632"/>
    <w:next w:val="632"/>
    <w:uiPriority w:val="39"/>
    <w:unhideWhenUsed/>
    <w:pPr>
      <w:pBdr/>
      <w:spacing w:after="57"/>
      <w:ind w:right="0" w:firstLine="0" w:left="850"/>
    </w:pPr>
  </w:style>
  <w:style w:type="paragraph" w:styleId="185">
    <w:name w:val="toc 5"/>
    <w:basedOn w:val="632"/>
    <w:next w:val="632"/>
    <w:uiPriority w:val="39"/>
    <w:unhideWhenUsed/>
    <w:pPr>
      <w:pBdr/>
      <w:spacing w:after="57"/>
      <w:ind w:right="0" w:firstLine="0" w:left="1134"/>
    </w:pPr>
  </w:style>
  <w:style w:type="paragraph" w:styleId="186">
    <w:name w:val="toc 6"/>
    <w:basedOn w:val="632"/>
    <w:next w:val="632"/>
    <w:uiPriority w:val="39"/>
    <w:unhideWhenUsed/>
    <w:pPr>
      <w:pBdr/>
      <w:spacing w:after="57"/>
      <w:ind w:right="0" w:firstLine="0" w:left="1417"/>
    </w:pPr>
  </w:style>
  <w:style w:type="paragraph" w:styleId="187">
    <w:name w:val="toc 7"/>
    <w:basedOn w:val="632"/>
    <w:next w:val="632"/>
    <w:uiPriority w:val="39"/>
    <w:unhideWhenUsed/>
    <w:pPr>
      <w:pBdr/>
      <w:spacing w:after="57"/>
      <w:ind w:right="0" w:firstLine="0" w:left="1701"/>
    </w:pPr>
  </w:style>
  <w:style w:type="paragraph" w:styleId="188">
    <w:name w:val="toc 8"/>
    <w:basedOn w:val="632"/>
    <w:next w:val="632"/>
    <w:uiPriority w:val="39"/>
    <w:unhideWhenUsed/>
    <w:pPr>
      <w:pBdr/>
      <w:spacing w:after="57"/>
      <w:ind w:right="0" w:firstLine="0" w:left="1984"/>
    </w:pPr>
  </w:style>
  <w:style w:type="paragraph" w:styleId="189">
    <w:name w:val="toc 9"/>
    <w:basedOn w:val="632"/>
    <w:next w:val="632"/>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32"/>
    <w:next w:val="632"/>
    <w:uiPriority w:val="99"/>
    <w:unhideWhenUsed/>
    <w:pPr>
      <w:pBdr/>
      <w:spacing w:after="0" w:afterAutospacing="0"/>
      <w:ind/>
    </w:pPr>
  </w:style>
  <w:style w:type="paragraph" w:styleId="632" w:default="1">
    <w:name w:val="Normal"/>
    <w:next w:val="635"/>
    <w:link w:val="632"/>
    <w:qFormat/>
    <w:pPr>
      <w:widowControl w:val="false"/>
      <w:pBdr/>
      <w:spacing/>
      <w:ind/>
      <w:jc w:val="both"/>
    </w:pPr>
    <w:rPr>
      <w:rFonts w:ascii="Calibri" w:hAnsi="Calibri" w:eastAsia="宋体" w:cs="Times New Roman"/>
      <w:sz w:val="21"/>
      <w:szCs w:val="22"/>
      <w:lang w:val="en-US" w:eastAsia="zh-CN" w:bidi="ar-SA"/>
    </w:rPr>
  </w:style>
  <w:style w:type="character" w:styleId="633">
    <w:name w:val="默认段落字体"/>
    <w:next w:val="633"/>
    <w:link w:val="632"/>
    <w:uiPriority w:val="1"/>
    <w:unhideWhenUsed/>
    <w:qFormat/>
    <w:pPr>
      <w:pBdr/>
      <w:spacing/>
      <w:ind/>
    </w:pPr>
  </w:style>
  <w:style w:type="table" w:styleId="634">
    <w:name w:val="普通表格"/>
    <w:next w:val="634"/>
    <w:link w:val="632"/>
    <w:uiPriority w:val="99"/>
    <w:unhideWhenUsed/>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35">
    <w:name w:val="正文首行缩进 2"/>
    <w:basedOn w:val="636"/>
    <w:next w:val="638"/>
    <w:link w:val="632"/>
    <w:qFormat/>
    <w:pPr>
      <w:pBdr/>
      <w:spacing w:after="0"/>
      <w:ind w:firstLine="420"/>
    </w:pPr>
  </w:style>
  <w:style w:type="paragraph" w:styleId="636">
    <w:name w:val="正文文本缩进"/>
    <w:basedOn w:val="632"/>
    <w:next w:val="637"/>
    <w:link w:val="632"/>
    <w:qFormat/>
    <w:pPr>
      <w:pBdr/>
      <w:spacing w:after="120"/>
      <w:ind w:left="420"/>
    </w:pPr>
  </w:style>
  <w:style w:type="paragraph" w:styleId="637">
    <w:name w:val="正文缩进"/>
    <w:basedOn w:val="632"/>
    <w:next w:val="637"/>
    <w:link w:val="632"/>
    <w:qFormat/>
    <w:pPr>
      <w:pBdr/>
      <w:spacing/>
      <w:ind w:firstLine="420"/>
    </w:pPr>
    <w:rPr>
      <w:rFonts w:ascii="等线" w:hAnsi="等线" w:eastAsia="等线" w:cs="宋体"/>
      <w:szCs w:val="20"/>
    </w:rPr>
  </w:style>
  <w:style w:type="paragraph" w:styleId="638">
    <w:name w:val="正文文本"/>
    <w:basedOn w:val="632"/>
    <w:next w:val="640"/>
    <w:link w:val="639"/>
    <w:uiPriority w:val="99"/>
    <w:unhideWhenUsed/>
    <w:qFormat/>
    <w:pPr>
      <w:pBdr/>
      <w:spacing w:after="120"/>
      <w:ind/>
    </w:pPr>
  </w:style>
  <w:style w:type="character" w:styleId="639">
    <w:name w:val="正文文本 Char"/>
    <w:basedOn w:val="633"/>
    <w:next w:val="639"/>
    <w:link w:val="638"/>
    <w:uiPriority w:val="99"/>
    <w:semiHidden/>
    <w:qFormat/>
    <w:pPr>
      <w:pBdr/>
      <w:spacing/>
      <w:ind/>
    </w:pPr>
    <w:rPr>
      <w:rFonts w:ascii="Calibri" w:hAnsi="Calibri" w:eastAsia="宋体" w:cs="Times New Roman"/>
    </w:rPr>
  </w:style>
  <w:style w:type="paragraph" w:styleId="640">
    <w:name w:val="页脚"/>
    <w:basedOn w:val="632"/>
    <w:next w:val="640"/>
    <w:link w:val="641"/>
    <w:uiPriority w:val="99"/>
    <w:unhideWhenUsed/>
    <w:qFormat/>
    <w:pPr>
      <w:pBdr/>
      <w:tabs>
        <w:tab w:val="center" w:leader="none" w:pos="4153"/>
        <w:tab w:val="right" w:leader="none" w:pos="8306"/>
      </w:tabs>
      <w:spacing/>
      <w:ind/>
      <w:jc w:val="left"/>
    </w:pPr>
    <w:rPr>
      <w:sz w:val="18"/>
      <w:szCs w:val="18"/>
    </w:rPr>
  </w:style>
  <w:style w:type="character" w:styleId="641">
    <w:name w:val="页脚 Char"/>
    <w:basedOn w:val="633"/>
    <w:next w:val="641"/>
    <w:link w:val="640"/>
    <w:uiPriority w:val="99"/>
    <w:semiHidden/>
    <w:qFormat/>
    <w:pPr>
      <w:pBdr/>
      <w:spacing/>
      <w:ind/>
    </w:pPr>
    <w:rPr>
      <w:sz w:val="18"/>
      <w:szCs w:val="18"/>
    </w:rPr>
  </w:style>
  <w:style w:type="paragraph" w:styleId="642">
    <w:name w:val="正文文本缩进 2"/>
    <w:basedOn w:val="632"/>
    <w:next w:val="632"/>
    <w:link w:val="632"/>
    <w:qFormat/>
    <w:pPr>
      <w:pBdr/>
      <w:spacing w:after="120" w:line="480" w:lineRule="auto"/>
      <w:ind w:left="420"/>
    </w:pPr>
    <w:rPr>
      <w:sz w:val="21"/>
      <w:szCs w:val="24"/>
    </w:rPr>
  </w:style>
  <w:style w:type="paragraph" w:styleId="643">
    <w:name w:val="批注框文本"/>
    <w:basedOn w:val="632"/>
    <w:next w:val="643"/>
    <w:link w:val="644"/>
    <w:uiPriority w:val="99"/>
    <w:unhideWhenUsed/>
    <w:qFormat/>
    <w:pPr>
      <w:pBdr/>
      <w:spacing/>
      <w:ind/>
    </w:pPr>
    <w:rPr>
      <w:sz w:val="18"/>
      <w:szCs w:val="18"/>
    </w:rPr>
  </w:style>
  <w:style w:type="character" w:styleId="644">
    <w:name w:val="批注框文本 Char"/>
    <w:basedOn w:val="633"/>
    <w:next w:val="644"/>
    <w:link w:val="643"/>
    <w:uiPriority w:val="99"/>
    <w:semiHidden/>
    <w:qFormat/>
    <w:pPr>
      <w:pBdr/>
      <w:spacing/>
      <w:ind/>
    </w:pPr>
    <w:rPr>
      <w:rFonts w:ascii="Calibri" w:hAnsi="Calibri" w:eastAsia="宋体" w:cs="Times New Roman"/>
      <w:sz w:val="18"/>
      <w:szCs w:val="18"/>
    </w:rPr>
  </w:style>
  <w:style w:type="paragraph" w:styleId="645">
    <w:name w:val="页眉"/>
    <w:basedOn w:val="632"/>
    <w:next w:val="645"/>
    <w:link w:val="646"/>
    <w:uiPriority w:val="99"/>
    <w:unhideWhenUsed/>
    <w:qFormat/>
    <w:pPr>
      <w:pBdr>
        <w:bottom w:val="single" w:color="000000" w:sz="6" w:space="1"/>
      </w:pBdr>
      <w:tabs>
        <w:tab w:val="center" w:leader="none" w:pos="4153"/>
        <w:tab w:val="right" w:leader="none" w:pos="8306"/>
      </w:tabs>
      <w:spacing/>
      <w:ind/>
      <w:jc w:val="center"/>
    </w:pPr>
    <w:rPr>
      <w:sz w:val="18"/>
      <w:szCs w:val="18"/>
    </w:rPr>
  </w:style>
  <w:style w:type="character" w:styleId="646">
    <w:name w:val="页眉 Char"/>
    <w:basedOn w:val="633"/>
    <w:next w:val="646"/>
    <w:link w:val="645"/>
    <w:uiPriority w:val="99"/>
    <w:semiHidden/>
    <w:qFormat/>
    <w:pPr>
      <w:pBdr/>
      <w:spacing/>
      <w:ind/>
    </w:pPr>
    <w:rPr>
      <w:sz w:val="18"/>
      <w:szCs w:val="18"/>
    </w:rPr>
  </w:style>
  <w:style w:type="paragraph" w:styleId="647">
    <w:name w:val="Body Text First Indent 2"/>
    <w:basedOn w:val="648"/>
    <w:next w:val="647"/>
    <w:link w:val="632"/>
    <w:qFormat/>
    <w:pPr>
      <w:pBdr/>
      <w:spacing/>
      <w:ind w:firstLine="420"/>
    </w:pPr>
    <w:rPr>
      <w:rFonts w:ascii="Calibri" w:hAnsi="Calibri" w:eastAsia="宋体" w:cs="Times New Roman"/>
      <w:szCs w:val="24"/>
    </w:rPr>
  </w:style>
  <w:style w:type="paragraph" w:styleId="648">
    <w:name w:val="Body Text Indent"/>
    <w:basedOn w:val="632"/>
    <w:next w:val="648"/>
    <w:link w:val="632"/>
    <w:qFormat/>
    <w:pPr>
      <w:pBdr/>
      <w:spacing w:after="120"/>
      <w:ind w:left="420"/>
    </w:pPr>
  </w:style>
  <w:style w:type="paragraph" w:styleId="649">
    <w:name w:val="普通(网站)1"/>
    <w:basedOn w:val="632"/>
    <w:next w:val="649"/>
    <w:link w:val="632"/>
    <w:qFormat/>
    <w:pPr>
      <w:widowControl w:val="true"/>
      <w:pBdr/>
      <w:spacing w:after="100" w:afterAutospacing="1" w:before="100" w:beforeAutospacing="1"/>
      <w:ind/>
    </w:pPr>
    <w:rPr>
      <w:rFonts w:hint="eastAsia" w:ascii="宋体" w:hAnsi="宋体"/>
      <w:sz w:val="24"/>
    </w:rPr>
  </w:style>
  <w:style w:type="character" w:styleId="974" w:default="1">
    <w:name w:val="Default Paragraph Font"/>
    <w:uiPriority w:val="1"/>
    <w:semiHidden/>
    <w:unhideWhenUsed/>
    <w:pPr>
      <w:pBdr/>
      <w:spacing/>
      <w:ind/>
    </w:pPr>
  </w:style>
  <w:style w:type="numbering" w:styleId="975" w:default="1">
    <w:name w:val="No List"/>
    <w:uiPriority w:val="99"/>
    <w:semiHidden/>
    <w:unhideWhenUsed/>
    <w:pPr>
      <w:pBdr/>
      <w:spacing/>
      <w:ind/>
    </w:pPr>
  </w:style>
  <w:style w:type="table" w:styleId="976"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微软</Company>
  <DocSecurity>0</DocSecurity>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武建</dc:creator>
  <cp:lastModifiedBy>匿名</cp:lastModifiedBy>
  <cp:revision>4</cp:revision>
  <dcterms:created xsi:type="dcterms:W3CDTF">2022-01-04T00:25:00Z</dcterms:created>
  <dcterms:modified xsi:type="dcterms:W3CDTF">2024-12-27T08:45:59Z</dcterms:modified>
</cp:coreProperties>
</file>