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华文中宋" w:hAnsi="华文中宋" w:eastAsia="华文中宋" w:cs="华文中宋"/>
          <w:b/>
          <w:sz w:val="48"/>
          <w:szCs w:val="48"/>
        </w:rPr>
      </w:pPr>
    </w:p>
    <w:p>
      <w:pPr>
        <w:spacing w:line="360" w:lineRule="auto"/>
        <w:jc w:val="center"/>
        <w:rPr>
          <w:rFonts w:hint="eastAsia" w:ascii="华文中宋" w:hAnsi="华文中宋" w:eastAsia="华文中宋" w:cs="华文中宋"/>
          <w:b/>
          <w:sz w:val="48"/>
          <w:szCs w:val="48"/>
        </w:rPr>
      </w:pPr>
      <w:r>
        <w:rPr>
          <w:rFonts w:hint="eastAsia" w:ascii="华文中宋" w:hAnsi="华文中宋" w:eastAsia="华文中宋" w:cs="华文中宋"/>
          <w:b/>
          <w:sz w:val="48"/>
          <w:szCs w:val="48"/>
        </w:rPr>
        <w:t>淮南市</w:t>
      </w:r>
      <w:r>
        <w:rPr>
          <w:rFonts w:hint="eastAsia" w:ascii="华文中宋" w:hAnsi="华文中宋" w:eastAsia="华文中宋" w:cs="华文中宋"/>
          <w:b/>
          <w:sz w:val="48"/>
          <w:szCs w:val="48"/>
          <w:lang w:eastAsia="zh-CN"/>
        </w:rPr>
        <w:t>财政局</w:t>
      </w:r>
      <w:r>
        <w:rPr>
          <w:rFonts w:hint="eastAsia" w:ascii="华文中宋" w:hAnsi="华文中宋" w:eastAsia="华文中宋" w:cs="华文中宋"/>
          <w:b/>
          <w:sz w:val="48"/>
          <w:szCs w:val="48"/>
          <w:lang w:val="en-US" w:eastAsia="zh-CN"/>
        </w:rPr>
        <w:t>(本级）</w:t>
      </w:r>
      <w:r>
        <w:rPr>
          <w:rFonts w:hint="eastAsia" w:ascii="华文中宋" w:hAnsi="华文中宋" w:eastAsia="华文中宋" w:cs="华文中宋"/>
          <w:b/>
          <w:sz w:val="48"/>
          <w:szCs w:val="48"/>
        </w:rPr>
        <w:t>2020年度决算</w:t>
      </w: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pStyle w:val="186"/>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2021年8月</w:t>
      </w:r>
    </w:p>
    <w:p>
      <w:pPr>
        <w:spacing w:line="580" w:lineRule="exact"/>
        <w:rPr>
          <w:rFonts w:hint="eastAsia" w:ascii="黑体" w:hAnsi="宋体" w:eastAsia="黑体"/>
          <w:bCs/>
          <w:sz w:val="48"/>
          <w:szCs w:val="48"/>
        </w:rPr>
      </w:pPr>
    </w:p>
    <w:p>
      <w:pPr>
        <w:spacing w:line="580" w:lineRule="exact"/>
        <w:jc w:val="center"/>
        <w:rPr>
          <w:rFonts w:hint="eastAsia" w:ascii="黑体" w:hAnsi="宋体" w:eastAsia="黑体"/>
          <w:bCs/>
          <w:sz w:val="48"/>
          <w:szCs w:val="48"/>
        </w:rPr>
      </w:pPr>
      <w:r>
        <w:rPr>
          <w:rFonts w:hint="eastAsia" w:ascii="黑体" w:hAnsi="宋体" w:eastAsia="黑体"/>
          <w:bCs/>
          <w:sz w:val="48"/>
          <w:szCs w:val="48"/>
        </w:rPr>
        <w:t>目  录</w:t>
      </w:r>
    </w:p>
    <w:p>
      <w:pPr>
        <w:spacing w:line="580" w:lineRule="exact"/>
        <w:jc w:val="center"/>
        <w:rPr>
          <w:rFonts w:hint="eastAsia" w:ascii="宋体" w:hAnsi="宋体"/>
          <w:b/>
          <w:sz w:val="48"/>
          <w:szCs w:val="48"/>
        </w:rPr>
      </w:pPr>
    </w:p>
    <w:p>
      <w:pPr>
        <w:spacing w:line="550" w:lineRule="exact"/>
        <w:rPr>
          <w:rFonts w:hint="eastAsia" w:ascii="宋体" w:hAnsi="宋体"/>
          <w:b/>
          <w:sz w:val="36"/>
          <w:szCs w:val="36"/>
        </w:rPr>
      </w:pPr>
      <w:r>
        <w:rPr>
          <w:rFonts w:hint="eastAsia" w:ascii="宋体" w:hAnsi="宋体"/>
          <w:b/>
          <w:sz w:val="36"/>
          <w:szCs w:val="36"/>
        </w:rPr>
        <w:t>第一部分 淮南市</w:t>
      </w:r>
      <w:r>
        <w:rPr>
          <w:rFonts w:hint="eastAsia" w:ascii="宋体" w:hAnsi="宋体"/>
          <w:b/>
          <w:sz w:val="36"/>
          <w:szCs w:val="36"/>
          <w:lang w:eastAsia="zh-CN"/>
        </w:rPr>
        <w:t>财政局（本级）</w:t>
      </w:r>
      <w:r>
        <w:rPr>
          <w:rFonts w:hint="eastAsia" w:ascii="宋体" w:hAnsi="宋体"/>
          <w:b/>
          <w:sz w:val="36"/>
          <w:szCs w:val="36"/>
        </w:rPr>
        <w:t>概况</w:t>
      </w:r>
    </w:p>
    <w:p>
      <w:pPr>
        <w:spacing w:line="550" w:lineRule="exact"/>
        <w:rPr>
          <w:rFonts w:hint="eastAsia" w:ascii="宋体" w:hAnsi="宋体"/>
          <w:bCs/>
          <w:sz w:val="36"/>
          <w:szCs w:val="36"/>
        </w:rPr>
      </w:pPr>
      <w:r>
        <w:rPr>
          <w:rFonts w:hint="eastAsia" w:ascii="宋体" w:hAnsi="宋体"/>
          <w:bCs/>
          <w:sz w:val="36"/>
          <w:szCs w:val="36"/>
        </w:rPr>
        <w:t>一、主要职责</w:t>
      </w:r>
    </w:p>
    <w:p>
      <w:pPr>
        <w:tabs>
          <w:tab w:val="left" w:pos="3130"/>
        </w:tabs>
        <w:spacing w:line="550" w:lineRule="exact"/>
        <w:rPr>
          <w:rFonts w:hint="eastAsia" w:ascii="宋体" w:hAnsi="宋体"/>
          <w:bCs/>
          <w:sz w:val="36"/>
          <w:szCs w:val="36"/>
        </w:rPr>
      </w:pPr>
      <w:r>
        <w:rPr>
          <w:rFonts w:hint="eastAsia" w:ascii="宋体" w:hAnsi="宋体"/>
          <w:bCs/>
          <w:sz w:val="36"/>
          <w:szCs w:val="36"/>
        </w:rPr>
        <w:t>二、单位决算构成</w:t>
      </w:r>
    </w:p>
    <w:p>
      <w:pPr>
        <w:spacing w:line="550" w:lineRule="exact"/>
        <w:rPr>
          <w:rFonts w:hint="eastAsia" w:ascii="宋体" w:hAnsi="宋体"/>
          <w:b/>
          <w:sz w:val="36"/>
          <w:szCs w:val="36"/>
        </w:rPr>
      </w:pPr>
      <w:r>
        <w:rPr>
          <w:rFonts w:hint="eastAsia" w:ascii="宋体" w:hAnsi="宋体"/>
          <w:b/>
          <w:sz w:val="36"/>
          <w:szCs w:val="36"/>
        </w:rPr>
        <w:t>第二部分 淮南市</w:t>
      </w:r>
      <w:r>
        <w:rPr>
          <w:rFonts w:hint="eastAsia" w:ascii="宋体" w:hAnsi="宋体"/>
          <w:b/>
          <w:sz w:val="36"/>
          <w:szCs w:val="36"/>
          <w:lang w:eastAsia="zh-CN"/>
        </w:rPr>
        <w:t>财政局</w:t>
      </w:r>
      <w:r>
        <w:rPr>
          <w:rFonts w:hint="eastAsia" w:ascii="宋体" w:hAnsi="宋体"/>
          <w:b/>
          <w:sz w:val="36"/>
          <w:szCs w:val="36"/>
          <w:lang w:val="en-US" w:eastAsia="zh-CN"/>
        </w:rPr>
        <w:t>(本级）</w:t>
      </w:r>
      <w:r>
        <w:rPr>
          <w:rFonts w:hint="eastAsia" w:ascii="宋体" w:hAnsi="宋体"/>
          <w:b/>
          <w:sz w:val="36"/>
          <w:szCs w:val="36"/>
        </w:rPr>
        <w:t>2020年度决算表</w:t>
      </w:r>
    </w:p>
    <w:p>
      <w:pPr>
        <w:spacing w:line="550" w:lineRule="exact"/>
        <w:rPr>
          <w:rFonts w:hint="eastAsia" w:ascii="宋体" w:hAnsi="宋体"/>
          <w:bCs/>
          <w:sz w:val="36"/>
          <w:szCs w:val="36"/>
        </w:rPr>
      </w:pPr>
      <w:r>
        <w:rPr>
          <w:rFonts w:hint="eastAsia" w:ascii="宋体" w:hAnsi="宋体"/>
          <w:bCs/>
          <w:sz w:val="36"/>
          <w:szCs w:val="36"/>
        </w:rPr>
        <w:t>一、收入支出决算总表</w:t>
      </w:r>
    </w:p>
    <w:p>
      <w:pPr>
        <w:spacing w:line="550" w:lineRule="exact"/>
        <w:rPr>
          <w:rFonts w:hint="eastAsia" w:ascii="宋体" w:hAnsi="宋体"/>
          <w:bCs/>
          <w:sz w:val="36"/>
          <w:szCs w:val="36"/>
        </w:rPr>
      </w:pPr>
      <w:r>
        <w:rPr>
          <w:rFonts w:hint="eastAsia" w:ascii="宋体" w:hAnsi="宋体"/>
          <w:bCs/>
          <w:sz w:val="36"/>
          <w:szCs w:val="36"/>
        </w:rPr>
        <w:t>二、收入决算表</w:t>
      </w:r>
    </w:p>
    <w:p>
      <w:pPr>
        <w:spacing w:line="550" w:lineRule="exact"/>
        <w:rPr>
          <w:rFonts w:hint="eastAsia" w:ascii="宋体" w:hAnsi="宋体"/>
          <w:bCs/>
          <w:sz w:val="36"/>
          <w:szCs w:val="36"/>
        </w:rPr>
      </w:pPr>
      <w:r>
        <w:rPr>
          <w:rFonts w:hint="eastAsia" w:ascii="宋体" w:hAnsi="宋体"/>
          <w:bCs/>
          <w:sz w:val="36"/>
          <w:szCs w:val="36"/>
        </w:rPr>
        <w:t>三、支出决算表</w:t>
      </w:r>
    </w:p>
    <w:p>
      <w:pPr>
        <w:spacing w:line="550" w:lineRule="exact"/>
        <w:rPr>
          <w:rFonts w:hint="eastAsia" w:ascii="宋体" w:hAnsi="宋体"/>
          <w:bCs/>
          <w:sz w:val="36"/>
          <w:szCs w:val="36"/>
        </w:rPr>
      </w:pPr>
      <w:r>
        <w:rPr>
          <w:rFonts w:hint="eastAsia" w:ascii="宋体" w:hAnsi="宋体"/>
          <w:bCs/>
          <w:sz w:val="36"/>
          <w:szCs w:val="36"/>
        </w:rPr>
        <w:t>四、财政拨款收入支出决算总表</w:t>
      </w:r>
    </w:p>
    <w:p>
      <w:pPr>
        <w:spacing w:line="550" w:lineRule="exact"/>
        <w:rPr>
          <w:rFonts w:hint="eastAsia" w:ascii="宋体" w:hAnsi="宋体"/>
          <w:bCs/>
          <w:sz w:val="36"/>
          <w:szCs w:val="36"/>
        </w:rPr>
      </w:pPr>
      <w:r>
        <w:rPr>
          <w:rFonts w:hint="eastAsia" w:ascii="宋体" w:hAnsi="宋体"/>
          <w:bCs/>
          <w:sz w:val="36"/>
          <w:szCs w:val="36"/>
        </w:rPr>
        <w:t>五、一般公共预算财政拨款支出决算表</w:t>
      </w:r>
    </w:p>
    <w:p>
      <w:pPr>
        <w:spacing w:line="550" w:lineRule="exact"/>
        <w:rPr>
          <w:rFonts w:hint="eastAsia" w:ascii="宋体" w:hAnsi="宋体"/>
          <w:bCs/>
          <w:sz w:val="36"/>
          <w:szCs w:val="36"/>
        </w:rPr>
      </w:pPr>
      <w:r>
        <w:rPr>
          <w:rFonts w:hint="eastAsia" w:ascii="宋体" w:hAnsi="宋体"/>
          <w:bCs/>
          <w:sz w:val="36"/>
          <w:szCs w:val="36"/>
        </w:rPr>
        <w:t>六、一般公共预算财政拨款基本支出决算表</w:t>
      </w:r>
    </w:p>
    <w:p>
      <w:pPr>
        <w:spacing w:line="550" w:lineRule="exact"/>
        <w:rPr>
          <w:rFonts w:hint="eastAsia" w:ascii="宋体" w:hAnsi="宋体"/>
          <w:bCs/>
          <w:sz w:val="36"/>
          <w:szCs w:val="36"/>
        </w:rPr>
      </w:pPr>
      <w:r>
        <w:rPr>
          <w:rFonts w:hint="eastAsia" w:ascii="宋体" w:hAnsi="宋体"/>
          <w:bCs/>
          <w:sz w:val="36"/>
          <w:szCs w:val="36"/>
        </w:rPr>
        <w:t>七、政府性基金预算财政拨款收入支出决算表</w:t>
      </w:r>
    </w:p>
    <w:p>
      <w:pPr>
        <w:spacing w:line="550" w:lineRule="exact"/>
        <w:rPr>
          <w:rFonts w:hint="eastAsia" w:ascii="宋体" w:hAnsi="宋体"/>
          <w:bCs/>
          <w:sz w:val="36"/>
          <w:szCs w:val="36"/>
        </w:rPr>
      </w:pPr>
      <w:r>
        <w:rPr>
          <w:rFonts w:hint="eastAsia" w:ascii="宋体" w:hAnsi="宋体"/>
          <w:bCs/>
          <w:sz w:val="36"/>
          <w:szCs w:val="36"/>
        </w:rPr>
        <w:t>八、国有资本经营预算财政拨款支出决算表</w:t>
      </w:r>
    </w:p>
    <w:p>
      <w:pPr>
        <w:spacing w:line="550" w:lineRule="exact"/>
        <w:rPr>
          <w:rFonts w:hint="eastAsia" w:ascii="宋体" w:hAnsi="宋体"/>
          <w:b/>
          <w:sz w:val="36"/>
          <w:szCs w:val="36"/>
        </w:rPr>
      </w:pPr>
      <w:r>
        <w:rPr>
          <w:rFonts w:hint="eastAsia" w:ascii="宋体" w:hAnsi="宋体"/>
          <w:b/>
          <w:sz w:val="36"/>
          <w:szCs w:val="36"/>
        </w:rPr>
        <w:t>第三部分 淮南市</w:t>
      </w:r>
      <w:r>
        <w:rPr>
          <w:rFonts w:hint="eastAsia" w:ascii="宋体" w:hAnsi="宋体"/>
          <w:b/>
          <w:sz w:val="36"/>
          <w:szCs w:val="36"/>
          <w:lang w:eastAsia="zh-CN"/>
        </w:rPr>
        <w:t>财政局（本级）</w:t>
      </w:r>
      <w:r>
        <w:rPr>
          <w:rFonts w:hint="eastAsia" w:ascii="宋体" w:hAnsi="宋体"/>
          <w:b/>
          <w:sz w:val="36"/>
          <w:szCs w:val="36"/>
        </w:rPr>
        <w:t>2020年度决算情况说明</w:t>
      </w:r>
    </w:p>
    <w:p>
      <w:pPr>
        <w:spacing w:line="550" w:lineRule="exact"/>
        <w:rPr>
          <w:rFonts w:hint="eastAsia" w:ascii="宋体" w:hAnsi="宋体"/>
          <w:bCs/>
          <w:sz w:val="36"/>
          <w:szCs w:val="36"/>
        </w:rPr>
      </w:pPr>
      <w:r>
        <w:rPr>
          <w:rFonts w:hint="eastAsia" w:ascii="宋体" w:hAnsi="宋体"/>
          <w:bCs/>
          <w:sz w:val="36"/>
          <w:szCs w:val="36"/>
        </w:rPr>
        <w:t>一、收入支出决算总体情况说明</w:t>
      </w:r>
    </w:p>
    <w:p>
      <w:pPr>
        <w:spacing w:line="550" w:lineRule="exact"/>
        <w:rPr>
          <w:rFonts w:hint="eastAsia" w:ascii="宋体" w:hAnsi="宋体"/>
          <w:bCs/>
          <w:sz w:val="36"/>
          <w:szCs w:val="36"/>
        </w:rPr>
      </w:pPr>
      <w:r>
        <w:rPr>
          <w:rFonts w:hint="eastAsia" w:ascii="宋体" w:hAnsi="宋体"/>
          <w:bCs/>
          <w:sz w:val="36"/>
          <w:szCs w:val="36"/>
        </w:rPr>
        <w:t>二、收入决算情况说明</w:t>
      </w:r>
    </w:p>
    <w:p>
      <w:pPr>
        <w:spacing w:line="550" w:lineRule="exact"/>
        <w:rPr>
          <w:rFonts w:hint="eastAsia" w:ascii="宋体" w:hAnsi="宋体"/>
          <w:bCs/>
          <w:sz w:val="36"/>
          <w:szCs w:val="36"/>
        </w:rPr>
      </w:pPr>
      <w:r>
        <w:rPr>
          <w:rFonts w:hint="eastAsia" w:ascii="宋体" w:hAnsi="宋体"/>
          <w:bCs/>
          <w:sz w:val="36"/>
          <w:szCs w:val="36"/>
        </w:rPr>
        <w:t>三、支出决算情况说明</w:t>
      </w:r>
    </w:p>
    <w:p>
      <w:pPr>
        <w:spacing w:line="550" w:lineRule="exact"/>
        <w:rPr>
          <w:rFonts w:hint="eastAsia" w:ascii="宋体" w:hAnsi="宋体"/>
          <w:bCs/>
          <w:sz w:val="36"/>
          <w:szCs w:val="36"/>
        </w:rPr>
      </w:pPr>
      <w:r>
        <w:rPr>
          <w:rFonts w:hint="eastAsia" w:ascii="宋体" w:hAnsi="宋体"/>
          <w:bCs/>
          <w:sz w:val="36"/>
          <w:szCs w:val="36"/>
        </w:rPr>
        <w:t>四、财政拨款收入支出决算总体情况说明</w:t>
      </w:r>
    </w:p>
    <w:p>
      <w:pPr>
        <w:spacing w:line="550" w:lineRule="exact"/>
        <w:rPr>
          <w:rFonts w:hint="eastAsia" w:ascii="宋体" w:hAnsi="宋体"/>
          <w:bCs/>
          <w:sz w:val="36"/>
          <w:szCs w:val="36"/>
        </w:rPr>
      </w:pPr>
      <w:r>
        <w:rPr>
          <w:rFonts w:hint="eastAsia" w:ascii="宋体" w:hAnsi="宋体"/>
          <w:bCs/>
          <w:sz w:val="36"/>
          <w:szCs w:val="36"/>
        </w:rPr>
        <w:t>五、一般公共预算财政拨款支出决算情况说明</w:t>
      </w:r>
    </w:p>
    <w:p>
      <w:pPr>
        <w:spacing w:line="550" w:lineRule="exact"/>
        <w:rPr>
          <w:rFonts w:hint="eastAsia" w:ascii="宋体" w:hAnsi="宋体"/>
          <w:bCs/>
          <w:sz w:val="36"/>
          <w:szCs w:val="36"/>
        </w:rPr>
      </w:pPr>
      <w:r>
        <w:rPr>
          <w:rFonts w:hint="eastAsia" w:ascii="宋体" w:hAnsi="宋体"/>
          <w:bCs/>
          <w:sz w:val="36"/>
          <w:szCs w:val="36"/>
        </w:rPr>
        <w:t>六、一般公共预算财政拨款基本支出决算情况说明</w:t>
      </w:r>
    </w:p>
    <w:p>
      <w:pPr>
        <w:spacing w:line="550" w:lineRule="exact"/>
        <w:rPr>
          <w:rFonts w:hint="eastAsia" w:ascii="宋体" w:hAnsi="宋体"/>
          <w:bCs/>
          <w:sz w:val="36"/>
          <w:szCs w:val="36"/>
        </w:rPr>
      </w:pPr>
      <w:r>
        <w:rPr>
          <w:rFonts w:hint="eastAsia" w:ascii="宋体" w:hAnsi="宋体"/>
          <w:bCs/>
          <w:sz w:val="36"/>
          <w:szCs w:val="36"/>
        </w:rPr>
        <w:t>七、政府性基金财政拨款收入支出决算情况说明</w:t>
      </w:r>
    </w:p>
    <w:p>
      <w:pPr>
        <w:spacing w:line="550" w:lineRule="exact"/>
        <w:rPr>
          <w:rFonts w:hint="eastAsia" w:ascii="宋体" w:hAnsi="宋体"/>
          <w:bCs/>
          <w:sz w:val="36"/>
          <w:szCs w:val="36"/>
        </w:rPr>
      </w:pPr>
      <w:r>
        <w:rPr>
          <w:rFonts w:hint="eastAsia" w:ascii="宋体" w:hAnsi="宋体"/>
          <w:bCs/>
          <w:sz w:val="36"/>
          <w:szCs w:val="36"/>
        </w:rPr>
        <w:t>八、国有资本经营预算财政拨款支出决算情况说明</w:t>
      </w:r>
    </w:p>
    <w:p>
      <w:pPr>
        <w:spacing w:line="550" w:lineRule="exact"/>
        <w:rPr>
          <w:rFonts w:hint="eastAsia" w:ascii="宋体" w:hAnsi="宋体"/>
          <w:bCs/>
          <w:sz w:val="36"/>
          <w:szCs w:val="36"/>
        </w:rPr>
      </w:pPr>
      <w:r>
        <w:rPr>
          <w:rFonts w:hint="eastAsia" w:ascii="宋体" w:hAnsi="宋体"/>
          <w:bCs/>
          <w:sz w:val="36"/>
          <w:szCs w:val="36"/>
        </w:rPr>
        <w:t>九、其他重要事项情况说明</w:t>
      </w:r>
    </w:p>
    <w:p>
      <w:pPr>
        <w:spacing w:line="550" w:lineRule="exact"/>
        <w:rPr>
          <w:rFonts w:hint="eastAsia" w:ascii="宋体" w:hAnsi="宋体"/>
          <w:b/>
          <w:sz w:val="36"/>
          <w:szCs w:val="36"/>
        </w:rPr>
      </w:pPr>
      <w:r>
        <w:rPr>
          <w:rFonts w:hint="eastAsia" w:ascii="宋体" w:hAnsi="宋体"/>
          <w:b/>
          <w:sz w:val="36"/>
          <w:szCs w:val="36"/>
        </w:rPr>
        <w:t>第四部分 名词解释</w:t>
      </w: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淮南市</w:t>
      </w:r>
      <w:r>
        <w:rPr>
          <w:rFonts w:hint="eastAsia" w:ascii="宋体" w:hAnsi="宋体"/>
          <w:b/>
          <w:sz w:val="36"/>
          <w:szCs w:val="36"/>
          <w:lang w:eastAsia="zh-CN"/>
        </w:rPr>
        <w:t>财政局（本级）</w:t>
      </w:r>
      <w:r>
        <w:rPr>
          <w:rFonts w:ascii="宋体" w:hAnsi="宋体"/>
          <w:b/>
          <w:sz w:val="36"/>
          <w:szCs w:val="36"/>
        </w:rPr>
        <w:t>2020年</w:t>
      </w:r>
      <w:r>
        <w:rPr>
          <w:rFonts w:hint="eastAsia" w:ascii="宋体" w:hAnsi="宋体"/>
          <w:b/>
          <w:sz w:val="36"/>
          <w:szCs w:val="36"/>
        </w:rPr>
        <w:t>度决算</w:t>
      </w:r>
      <w:r>
        <w:rPr>
          <w:rFonts w:ascii="宋体" w:hAnsi="宋体"/>
          <w:b/>
          <w:sz w:val="36"/>
          <w:szCs w:val="36"/>
        </w:rPr>
        <w:t>情况</w:t>
      </w:r>
    </w:p>
    <w:p>
      <w:pPr>
        <w:ind w:firstLine="628"/>
        <w:rPr>
          <w:rFonts w:hint="eastAsia" w:ascii="黑体" w:hAnsi="黑体" w:eastAsia="黑体"/>
          <w:szCs w:val="32"/>
        </w:rPr>
      </w:pPr>
    </w:p>
    <w:p>
      <w:pPr>
        <w:ind w:firstLine="628"/>
        <w:rPr>
          <w:rFonts w:hint="eastAsia" w:ascii="黑体" w:hAnsi="黑体" w:eastAsia="黑体"/>
          <w:szCs w:val="32"/>
        </w:rPr>
      </w:pPr>
      <w:r>
        <w:rPr>
          <w:rFonts w:hint="eastAsia" w:ascii="黑体" w:hAnsi="黑体" w:eastAsia="黑体"/>
          <w:szCs w:val="32"/>
        </w:rPr>
        <w:t>第一部分 淮南市</w:t>
      </w:r>
      <w:r>
        <w:rPr>
          <w:rFonts w:hint="eastAsia" w:ascii="黑体" w:hAnsi="黑体" w:eastAsia="黑体"/>
          <w:szCs w:val="32"/>
          <w:lang w:eastAsia="zh-CN"/>
        </w:rPr>
        <w:t>财政局（本级）</w:t>
      </w:r>
      <w:r>
        <w:rPr>
          <w:rFonts w:hint="eastAsia" w:ascii="黑体" w:hAnsi="黑体" w:eastAsia="黑体"/>
          <w:szCs w:val="32"/>
        </w:rPr>
        <w:t>概况</w:t>
      </w:r>
    </w:p>
    <w:p>
      <w:pPr>
        <w:ind w:firstLine="628"/>
        <w:rPr>
          <w:rFonts w:hint="eastAsia" w:ascii="黑体" w:hAnsi="黑体" w:eastAsia="黑体"/>
          <w:szCs w:val="32"/>
        </w:rPr>
      </w:pPr>
      <w:r>
        <w:rPr>
          <w:rFonts w:hint="eastAsia" w:ascii="黑体" w:hAnsi="黑体" w:eastAsia="黑体"/>
          <w:szCs w:val="32"/>
        </w:rPr>
        <w:t>一、主要职责</w:t>
      </w:r>
    </w:p>
    <w:p>
      <w:pPr>
        <w:pStyle w:val="186"/>
        <w:keepNext w:val="0"/>
        <w:keepLines w:val="0"/>
        <w:pageBreakBefore w:val="0"/>
        <w:spacing w:before="0" w:beforeAutospacing="0" w:after="0" w:afterAutospacing="0" w:line="560" w:lineRule="exact"/>
        <w:jc w:val="both"/>
        <w:rPr>
          <w:rFonts w:hint="eastAsia" w:ascii="仿宋" w:hAnsi="仿宋" w:eastAsia="仿宋" w:cs="仿宋"/>
          <w:sz w:val="32"/>
          <w:szCs w:val="32"/>
        </w:rPr>
      </w:pPr>
      <w:r>
        <w:rPr>
          <w:rFonts w:hint="eastAsia" w:ascii="仿宋" w:hAnsi="仿宋" w:eastAsia="仿宋" w:cs="仿宋"/>
          <w:bCs/>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拟订全市财税发展战略、规划、政策和改革方案并组织实施。分析预测宏观经济形势，参与拟订宏观经济政策。提出运用财税政策实施宏观调控和综合平衡社会财力的建议。拟订市与县区、政府与企业的分配政策，完善鼓励公益事业发展的财税政策。</w:t>
      </w:r>
    </w:p>
    <w:p>
      <w:pPr>
        <w:keepNext w:val="0"/>
        <w:keepLines w:val="0"/>
        <w:pageBreakBefore w:val="0"/>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二）贯彻执行财政、财务、会计管理的法律法规规章，起草相关地方性法规规章草案并监督执行。参与涉外财政、债务等国际谈判并草签有关协议。在国家规定权限内，提出地方性税收政策调整建议，与市税务部门共同上报税收地方性法规规章草案。</w:t>
      </w:r>
    </w:p>
    <w:p>
      <w:pPr>
        <w:keepNext w:val="0"/>
        <w:keepLines w:val="0"/>
        <w:pageBreakBefore w:val="0"/>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三）负责管理全市财政收支。编制年度市级财政预决算草案并组织执行。组织制定经费开支标准、定额，审核批复部门（单位）的年度预决算。受市政府委托，向市人民代表大会及其常委会报告财政预算、执行和决算等情况。负责政府投资基金市级财政出资的资产管理。负责市级预决算公开。</w:t>
      </w:r>
    </w:p>
    <w:p>
      <w:pPr>
        <w:keepNext w:val="0"/>
        <w:keepLines w:val="0"/>
        <w:pageBreakBefore w:val="0"/>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（四）按分工负责政府非税收入管理。负责政府性基金管理，按规定管理行政事业性收费。管理财政票据。按规定管理彩票资金。</w:t>
      </w:r>
    </w:p>
    <w:p>
      <w:pPr>
        <w:keepNext w:val="0"/>
        <w:keepLines w:val="0"/>
        <w:pageBreakBefore w:val="0"/>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（五）组织制定国库管理、国库集中收付相关制度办法，指导和监督市级国库业务，按规定开展市级国库现金管理工作。组织实施政府财务报告编制。组织实施政府采购制度，监督管理政府采购工作。</w:t>
      </w:r>
    </w:p>
    <w:p>
      <w:pPr>
        <w:keepNext w:val="0"/>
        <w:keepLines w:val="0"/>
        <w:pageBreakBefore w:val="0"/>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（六）执行政府债务管理制度和政策。负责管理全市政府债务，依法制定政府债务管理制度和办法。统一管理全市政府外债，按规定制定基本管理制度。</w:t>
      </w:r>
    </w:p>
    <w:p>
      <w:pPr>
        <w:keepNext w:val="0"/>
        <w:keepLines w:val="0"/>
        <w:pageBreakBefore w:val="0"/>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（七）负责审核并汇总编制全市社会保险基金预决算草案，承担社会保险基金财政监管工作。会同有关部门拟订有关资金（基金）财务管理相关制度办法。</w:t>
      </w:r>
    </w:p>
    <w:p>
      <w:pPr>
        <w:keepNext w:val="0"/>
        <w:keepLines w:val="0"/>
        <w:pageBreakBefore w:val="0"/>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（八）负责办理和监督市级财政的经济发展支出、市级政府性投资项目的财政拨款，参与拟订市级基建投资有关政策，制定基建财务管理相关制度办法。</w:t>
      </w:r>
    </w:p>
    <w:p>
      <w:pPr>
        <w:keepNext w:val="0"/>
        <w:keepLines w:val="0"/>
        <w:pageBreakBefore w:val="0"/>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（九）牵头编制国有资产管理情况报告。负责拟订行政事业单位国有资产管理规章制度并组织实施。制定需要全市统一规定的开支标准和支出政策。负责财政预算内行政事业单位和社会团体的非贸易外汇管理。</w:t>
      </w:r>
    </w:p>
    <w:p>
      <w:pPr>
        <w:keepNext w:val="0"/>
        <w:keepLines w:val="0"/>
        <w:pageBreakBefore w:val="0"/>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十）执行国有资本经营预算的制度和办法，负责审核并汇总编制全市国有资本经营预决算草案，收取市属企业国有资本收益。组织实施企业财务制度。根据市政府授权，集中统一履行市级国有金融资本出资人职责，执行全国、全省统一的国有金融资本管理规章制度。依法管理资产评估有关工作。</w:t>
      </w:r>
    </w:p>
    <w:p>
      <w:pPr>
        <w:keepNext w:val="0"/>
        <w:keepLines w:val="0"/>
        <w:pageBreakBefore w:val="0"/>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（十一）负责管理全市会计工作，监督和规范会计行为。组织实施国家统一的会计制度。</w:t>
      </w:r>
    </w:p>
    <w:p>
      <w:pPr>
        <w:keepNext w:val="0"/>
        <w:keepLines w:val="0"/>
        <w:pageBreakBefore w:val="0"/>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（十二）负责市委、市政府和市委编委明确的安全生产职责。</w:t>
      </w:r>
    </w:p>
    <w:p>
      <w:pPr>
        <w:keepNext w:val="0"/>
        <w:keepLines w:val="0"/>
        <w:pageBreakBefore w:val="0"/>
        <w:widowControl/>
        <w:spacing w:line="560" w:lineRule="exact"/>
        <w:ind w:firstLine="624"/>
        <w:jc w:val="left"/>
        <w:rPr>
          <w:rFonts w:hint="eastAsia" w:ascii="仿宋" w:hAnsi="仿宋" w:eastAsia="仿宋" w:cs="仿宋"/>
          <w:sz w:val="32"/>
          <w:szCs w:val="32"/>
        </w:rPr>
      </w:pPr>
      <w:r>
        <w:rPr>
          <w:rFonts w:hint="eastAsia" w:ascii="仿宋" w:hAnsi="仿宋" w:eastAsia="仿宋" w:cs="仿宋"/>
          <w:sz w:val="32"/>
          <w:szCs w:val="32"/>
        </w:rPr>
        <w:t>（十三）完成市委、市政府交办的其他任务。</w:t>
      </w:r>
    </w:p>
    <w:p>
      <w:pPr>
        <w:keepNext w:val="0"/>
        <w:keepLines w:val="0"/>
        <w:pageBreakBefore w:val="0"/>
        <w:widowControl/>
        <w:spacing w:line="560" w:lineRule="exact"/>
        <w:ind w:firstLine="588"/>
        <w:jc w:val="left"/>
        <w:rPr>
          <w:rFonts w:hint="eastAsia" w:ascii="仿宋" w:hAnsi="仿宋" w:eastAsia="仿宋" w:cs="仿宋"/>
          <w:sz w:val="32"/>
          <w:szCs w:val="32"/>
        </w:rPr>
      </w:pPr>
      <w:r>
        <w:rPr>
          <w:rFonts w:hint="eastAsia" w:ascii="仿宋" w:hAnsi="仿宋" w:eastAsia="仿宋" w:cs="仿宋"/>
          <w:sz w:val="32"/>
          <w:szCs w:val="32"/>
        </w:rPr>
        <w:t>（十四）职能转变。</w:t>
      </w:r>
    </w:p>
    <w:p>
      <w:pPr>
        <w:keepNext w:val="0"/>
        <w:keepLines w:val="0"/>
        <w:pageBreakBefore w:val="0"/>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1．完善宏观调控体系，创新调控方式，构建发展规划、财政、金融等政策协调和工作协同机制，强化经济监测预测预警能力，建立健全重大问题研究和政策储备工作机制，增强宏观调控前瞻性、针对性、协同性。</w:t>
      </w:r>
    </w:p>
    <w:p>
      <w:pPr>
        <w:keepNext w:val="0"/>
        <w:keepLines w:val="0"/>
        <w:pageBreakBefore w:val="0"/>
        <w:widowControl/>
        <w:spacing w:line="560" w:lineRule="exact"/>
        <w:ind w:firstLine="588"/>
        <w:jc w:val="left"/>
        <w:rPr>
          <w:rFonts w:hint="eastAsia" w:ascii="仿宋" w:hAnsi="仿宋" w:eastAsia="仿宋" w:cs="仿宋"/>
          <w:sz w:val="32"/>
          <w:szCs w:val="32"/>
        </w:rPr>
      </w:pPr>
      <w:r>
        <w:rPr>
          <w:rFonts w:hint="eastAsia" w:ascii="仿宋" w:hAnsi="仿宋" w:eastAsia="仿宋" w:cs="仿宋"/>
          <w:sz w:val="32"/>
          <w:szCs w:val="32"/>
        </w:rPr>
        <w:t>2．深化地方财税体制改革。加快建立现代财政制度，推进市以下财政事权和支出责任划分改革，理顺市以下各级政府收入划分，建立权责清晰、财力协调、区域均衡的市以下财政关系。完善转移支付制度，优化转移支付分类，规范转移支付项目，增强县区统筹能力。逐步统一预算分配，全面实施绩效管理，建立全面规范透明、标准科学、约束有力的预算制度。全面推行政府性基金和行政事业性收费清单管理，完善监督制度。深化税收制度改革，健全地方税体系。</w:t>
      </w:r>
    </w:p>
    <w:p>
      <w:pPr>
        <w:keepNext w:val="0"/>
        <w:keepLines w:val="0"/>
        <w:pageBreakBefore w:val="0"/>
        <w:widowControl/>
        <w:spacing w:line="560" w:lineRule="exact"/>
        <w:ind w:firstLine="588"/>
        <w:jc w:val="left"/>
        <w:rPr>
          <w:rFonts w:hint="eastAsia" w:ascii="仿宋" w:hAnsi="仿宋" w:eastAsia="仿宋" w:cs="仿宋"/>
          <w:sz w:val="32"/>
          <w:szCs w:val="32"/>
        </w:rPr>
      </w:pPr>
      <w:r>
        <w:rPr>
          <w:rFonts w:hint="eastAsia" w:ascii="仿宋" w:hAnsi="仿宋" w:eastAsia="仿宋" w:cs="仿宋"/>
          <w:sz w:val="32"/>
          <w:szCs w:val="32"/>
        </w:rPr>
        <w:t>3．防范化解政府债务风险。规范举债融资机制，构建“闭环”管理体系，严控法定限额内债务风险，着力防控隐性债务风险，牢牢守住不发生系统性风险的底线。</w:t>
      </w:r>
    </w:p>
    <w:p>
      <w:pPr>
        <w:keepNext w:val="0"/>
        <w:keepLines w:val="0"/>
        <w:pageBreakBefore w:val="0"/>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（十五）有关职责分工。</w:t>
      </w:r>
    </w:p>
    <w:p>
      <w:pPr>
        <w:keepNext w:val="0"/>
        <w:keepLines w:val="0"/>
        <w:pageBreakBefore w:val="0"/>
        <w:widowControl/>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1．税政管理职责分工。市财政局负责按规定提出地方税收立法建议，与市税务局等部门提出中央和省授权税种增减、税目税率调整、减免税等建议。在国家规定权限内，市财政局负责组织起草税收地方性法规规章草案及实施细则和税收政策调整方案，市税务局具体起草税收地方性法规规章草案及实施细则并提出税收政策建议，由市财政局组织审议后与市税务局共同上报或下发。市税务局负责对税收地方性法规规章及实施细则执行过程中的征管和一般性税政问题进行解释，事后向市财政局备案。</w:t>
      </w:r>
    </w:p>
    <w:p>
      <w:pPr>
        <w:keepNext w:val="0"/>
        <w:keepLines w:val="0"/>
        <w:pageBreakBefore w:val="0"/>
        <w:spacing w:line="560" w:lineRule="exact"/>
        <w:ind w:firstLine="600"/>
        <w:rPr>
          <w:rFonts w:hint="eastAsia" w:ascii="仿宋" w:hAnsi="仿宋" w:eastAsia="仿宋" w:cs="仿宋"/>
          <w:sz w:val="32"/>
          <w:szCs w:val="32"/>
        </w:rPr>
      </w:pPr>
      <w:r>
        <w:rPr>
          <w:rFonts w:hint="eastAsia" w:ascii="仿宋" w:hAnsi="仿宋" w:eastAsia="仿宋" w:cs="仿宋"/>
          <w:sz w:val="32"/>
          <w:szCs w:val="32"/>
        </w:rPr>
        <w:t>2．非税收入管理职责分工。市财政局负责制定和组织实施非税收入国库集中收缴制度，负责非税收入账户、收缴方式、退付退库等管理。市税务局等部门按照非税收入国库集中收缴等有关规定，负责做好非税收入申报征收、会统核算、缴费检查、欠费追缴和违法处罚等工作，有关非税收入项目收缴信息与市财政局及时共享。</w:t>
      </w:r>
    </w:p>
    <w:p>
      <w:pPr>
        <w:keepNext w:val="0"/>
        <w:keepLines w:val="0"/>
        <w:pageBreakBefore w:val="0"/>
        <w:spacing w:line="560" w:lineRule="exact"/>
        <w:ind w:firstLine="588"/>
        <w:rPr>
          <w:rFonts w:hint="eastAsia" w:ascii="黑体" w:hAnsi="黑体" w:eastAsia="黑体"/>
          <w:szCs w:val="32"/>
        </w:rPr>
      </w:pPr>
      <w:r>
        <w:rPr>
          <w:rFonts w:hint="eastAsia" w:ascii="仿宋" w:hAnsi="仿宋" w:eastAsia="仿宋" w:cs="仿宋"/>
          <w:sz w:val="32"/>
          <w:szCs w:val="32"/>
        </w:rPr>
        <w:t>3．市级行政事业单位国有资产管理职责分工。市财政局对市级行政事业单位国有资产实行综合管理和监督检查。会同市机关事务管理局拟订市级行政事业单位国有资产管理工作的规章制度及其实施办法，拟订办公设备和办公家具配置标准。负责资产配置事项中除办公用房和公务用车以外的资产项目配置的审批。负责市级行政事业单位资产租赁、投资、处置、变动等事项的审批，组织市级行政事业单位产权纠纷调处等工作。负责市级行政事业单位国有资产收益的收缴和监督管理。负责指导、监督市以下垂直管理部门及县区机构的国有资产管理工作。市机关事务管理局负责市级行政事业单位办公用房和公务用车管理工作，会同市财政局拟订市级行政事业单位办公用房、公务用车等国有资产管理的具体管理办法。负责市级行政事业单位办公用房、公务用车配置、处置、管理等事项的审核。负责市级行政事业单位办公用房、公务用车的产权界定、清查登记和办公及附属用房产权证集中统一管理等工作。市级行政事业单位按规定负责本部门（单位）及所属单位、派出机构的国有资产管理。</w:t>
      </w:r>
    </w:p>
    <w:p>
      <w:pPr>
        <w:ind w:firstLine="628"/>
        <w:rPr>
          <w:rFonts w:hint="eastAsia" w:ascii="黑体" w:hAnsi="黑体" w:eastAsia="黑体"/>
          <w:szCs w:val="32"/>
        </w:rPr>
      </w:pPr>
      <w:r>
        <w:rPr>
          <w:rFonts w:hint="eastAsia" w:ascii="黑体" w:hAnsi="黑体" w:eastAsia="黑体"/>
          <w:szCs w:val="32"/>
        </w:rPr>
        <w:t>二、单位决算构成</w:t>
      </w:r>
    </w:p>
    <w:p>
      <w:pPr>
        <w:ind w:firstLine="628"/>
        <w:rPr>
          <w:rFonts w:hint="eastAsia" w:ascii="仿宋_GB2312" w:hAnsi="仿宋"/>
          <w:szCs w:val="32"/>
          <w:lang w:eastAsia="zh-CN"/>
        </w:rPr>
      </w:pPr>
      <w:r>
        <w:rPr>
          <w:rFonts w:hint="eastAsia" w:ascii="仿宋_GB2312" w:hAnsi="仿宋"/>
          <w:szCs w:val="32"/>
        </w:rPr>
        <w:t>淮南市</w:t>
      </w:r>
      <w:r>
        <w:rPr>
          <w:rFonts w:hint="eastAsia" w:ascii="仿宋_GB2312" w:hAnsi="仿宋"/>
          <w:szCs w:val="32"/>
          <w:lang w:eastAsia="zh-CN"/>
        </w:rPr>
        <w:t>财政局</w:t>
      </w:r>
      <w:r>
        <w:rPr>
          <w:rFonts w:hint="eastAsia" w:ascii="仿宋_GB2312" w:hAnsi="仿宋"/>
          <w:szCs w:val="32"/>
        </w:rPr>
        <w:t>2020年度单位决算仅包括单位本级决算，无其他下属单位决算，与预算</w:t>
      </w:r>
      <w:r>
        <w:rPr>
          <w:rFonts w:hint="eastAsia" w:ascii="仿宋_GB2312" w:hAnsi="仿宋"/>
          <w:szCs w:val="32"/>
          <w:lang w:eastAsia="zh-CN"/>
        </w:rPr>
        <w:t>保持一致。</w:t>
      </w:r>
    </w:p>
    <w:p>
      <w:pPr>
        <w:ind w:firstLine="628"/>
        <w:rPr>
          <w:rFonts w:hint="eastAsia" w:ascii="仿宋_GB2312" w:hAnsi="仿宋"/>
          <w:szCs w:val="32"/>
        </w:rPr>
      </w:pPr>
      <w:r>
        <w:rPr>
          <w:rFonts w:hint="eastAsia" w:ascii="仿宋_GB2312" w:hAnsi="仿宋"/>
          <w:szCs w:val="32"/>
        </w:rPr>
        <w:t>纳入淮南市</w:t>
      </w:r>
      <w:r>
        <w:rPr>
          <w:rFonts w:hint="eastAsia" w:ascii="仿宋_GB2312" w:hAnsi="仿宋"/>
          <w:szCs w:val="32"/>
          <w:lang w:eastAsia="zh-CN"/>
        </w:rPr>
        <w:t>财政局</w:t>
      </w:r>
      <w:r>
        <w:rPr>
          <w:rFonts w:hint="eastAsia" w:ascii="仿宋_GB2312" w:hAnsi="仿宋"/>
          <w:szCs w:val="32"/>
        </w:rPr>
        <w:t>2020年度</w:t>
      </w:r>
      <w:r>
        <w:rPr>
          <w:rFonts w:hint="eastAsia" w:ascii="仿宋_GB2312" w:hAnsi="仿宋"/>
          <w:szCs w:val="32"/>
          <w:lang w:eastAsia="zh-CN"/>
        </w:rPr>
        <w:t>单位</w:t>
      </w:r>
      <w:r>
        <w:rPr>
          <w:rFonts w:hint="eastAsia" w:ascii="仿宋_GB2312" w:hAnsi="仿宋"/>
          <w:szCs w:val="32"/>
        </w:rPr>
        <w:t>决算编制范围的单位仅1个，详细情况见下表：</w:t>
      </w:r>
    </w:p>
    <w:p>
      <w:pPr>
        <w:ind w:firstLine="628"/>
        <w:rPr>
          <w:rFonts w:hint="eastAsia" w:ascii="仿宋_GB2312" w:hAnsi="仿宋"/>
          <w:szCs w:val="32"/>
        </w:rPr>
      </w:pPr>
    </w:p>
    <w:tbl>
      <w:tblPr>
        <w:tblStyle w:val="28"/>
        <w:tblW w:w="0" w:type="auto"/>
        <w:tblInd w:w="720" w:type="dxa"/>
        <w:shd w:val="clear" w:color="auto" w:fill="FFFFFF"/>
        <w:tblLayout w:type="fixed"/>
        <w:tblCellMar>
          <w:top w:w="0" w:type="dxa"/>
          <w:left w:w="108" w:type="dxa"/>
          <w:bottom w:w="0" w:type="dxa"/>
          <w:right w:w="108" w:type="dxa"/>
        </w:tblCellMar>
      </w:tblPr>
      <w:tblGrid>
        <w:gridCol w:w="1389"/>
        <w:gridCol w:w="5837"/>
      </w:tblGrid>
      <w:tr>
        <w:tblPrEx>
          <w:shd w:val="clear" w:color="auto" w:fill="FFFFFF"/>
        </w:tblPrEx>
        <w:trPr>
          <w:trHeight w:val="717" w:hRule="exact"/>
        </w:trPr>
        <w:tc>
          <w:tcPr>
            <w:tcW w:w="138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序号</w:t>
            </w:r>
          </w:p>
        </w:tc>
        <w:tc>
          <w:tcPr>
            <w:tcW w:w="5837" w:type="dxa"/>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单位名称</w:t>
            </w:r>
          </w:p>
        </w:tc>
      </w:tr>
      <w:tr>
        <w:tblPrEx>
          <w:tblCellMar>
            <w:top w:w="0" w:type="dxa"/>
            <w:left w:w="108" w:type="dxa"/>
            <w:bottom w:w="0" w:type="dxa"/>
            <w:right w:w="108" w:type="dxa"/>
          </w:tblCellMar>
        </w:tblPrEx>
        <w:trPr>
          <w:trHeight w:val="967" w:hRule="exact"/>
        </w:trPr>
        <w:tc>
          <w:tcPr>
            <w:tcW w:w="1389" w:type="dxa"/>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sz w:val="24"/>
              </w:rPr>
              <w:t>1</w:t>
            </w:r>
          </w:p>
        </w:tc>
        <w:tc>
          <w:tcPr>
            <w:tcW w:w="5837" w:type="dxa"/>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rPr>
                <w:rFonts w:hint="eastAsia" w:ascii="宋体" w:hAnsi="宋体" w:eastAsia="仿宋_GB2312"/>
                <w:sz w:val="24"/>
                <w:lang w:eastAsia="zh-CN"/>
              </w:rPr>
            </w:pPr>
            <w:r>
              <w:rPr>
                <w:rFonts w:hint="eastAsia" w:ascii="宋体" w:hAnsi="宋体"/>
                <w:sz w:val="24"/>
              </w:rPr>
              <w:t>淮南市</w:t>
            </w:r>
            <w:r>
              <w:rPr>
                <w:rFonts w:hint="eastAsia" w:ascii="宋体" w:hAnsi="宋体"/>
                <w:sz w:val="24"/>
                <w:lang w:eastAsia="zh-CN"/>
              </w:rPr>
              <w:t>财政局（本级）</w:t>
            </w:r>
          </w:p>
        </w:tc>
      </w:tr>
    </w:tbl>
    <w:p>
      <w:pPr>
        <w:ind w:firstLine="628"/>
        <w:rPr>
          <w:rFonts w:hint="eastAsia" w:ascii="仿宋_GB2312" w:hAnsi="黑体"/>
          <w:szCs w:val="32"/>
        </w:rPr>
      </w:pPr>
    </w:p>
    <w:p>
      <w:pPr>
        <w:ind w:firstLine="628"/>
        <w:rPr>
          <w:rFonts w:hint="eastAsia" w:ascii="仿宋_GB2312" w:hAnsi="黑体"/>
          <w:szCs w:val="32"/>
        </w:rPr>
      </w:pPr>
    </w:p>
    <w:p>
      <w:pPr>
        <w:ind w:firstLine="628"/>
        <w:rPr>
          <w:rFonts w:hint="eastAsia" w:ascii="黑体" w:hAnsi="黑体" w:eastAsia="黑体"/>
          <w:szCs w:val="32"/>
        </w:rPr>
      </w:pPr>
      <w:r>
        <w:rPr>
          <w:rFonts w:hint="eastAsia" w:ascii="黑体" w:hAnsi="黑体" w:eastAsia="黑体"/>
          <w:szCs w:val="32"/>
        </w:rPr>
        <w:t>第二部分 淮南市</w:t>
      </w:r>
      <w:r>
        <w:rPr>
          <w:rFonts w:hint="eastAsia" w:ascii="黑体" w:hAnsi="黑体" w:eastAsia="黑体"/>
          <w:szCs w:val="32"/>
          <w:lang w:eastAsia="zh-CN"/>
        </w:rPr>
        <w:t>财政局（本级）</w:t>
      </w:r>
      <w:r>
        <w:rPr>
          <w:rFonts w:hint="eastAsia" w:ascii="黑体" w:hAnsi="黑体" w:eastAsia="黑体"/>
          <w:szCs w:val="32"/>
        </w:rPr>
        <w:t>2020年度决算表</w:t>
      </w:r>
    </w:p>
    <w:p>
      <w:pPr>
        <w:rPr>
          <w:rFonts w:hint="eastAsia" w:ascii="黑体" w:hAnsi="黑体" w:eastAsia="黑体"/>
          <w:szCs w:val="32"/>
        </w:rPr>
      </w:pPr>
    </w:p>
    <w:p>
      <w:pPr>
        <w:rPr>
          <w:rFonts w:hint="eastAsia" w:ascii="黑体" w:hAnsi="黑体" w:eastAsia="黑体"/>
          <w:szCs w:val="32"/>
        </w:rPr>
      </w:pPr>
    </w:p>
    <w:p>
      <w:pPr>
        <w:rPr>
          <w:rFonts w:hint="eastAsia" w:ascii="黑体" w:hAnsi="黑体" w:eastAsia="黑体"/>
          <w:szCs w:val="32"/>
        </w:rPr>
        <w:sectPr>
          <w:footerReference r:id="rId3" w:type="default"/>
          <w:footerReference r:id="rId4" w:type="even"/>
          <w:pgSz w:w="11906" w:h="16838" w:orient="landscape"/>
          <w:pgMar w:top="2155" w:right="1531" w:bottom="1588" w:left="1588" w:header="0" w:footer="1588" w:gutter="0"/>
          <w:cols w:space="1701" w:num="1"/>
        </w:sectPr>
      </w:pPr>
    </w:p>
    <w:tbl>
      <w:tblPr>
        <w:tblStyle w:val="28"/>
        <w:tblW w:w="14084" w:type="dxa"/>
        <w:tblInd w:w="-15" w:type="dxa"/>
        <w:tblLayout w:type="fixed"/>
        <w:tblCellMar>
          <w:top w:w="0" w:type="dxa"/>
          <w:left w:w="108" w:type="dxa"/>
          <w:bottom w:w="0" w:type="dxa"/>
          <w:right w:w="108" w:type="dxa"/>
        </w:tblCellMar>
      </w:tblPr>
      <w:tblGrid>
        <w:gridCol w:w="4383"/>
        <w:gridCol w:w="776"/>
        <w:gridCol w:w="1860"/>
        <w:gridCol w:w="4335"/>
        <w:gridCol w:w="1140"/>
        <w:gridCol w:w="1590"/>
      </w:tblGrid>
      <w:tr>
        <w:tblPrEx>
          <w:tblCellMar>
            <w:top w:w="0" w:type="dxa"/>
            <w:left w:w="108" w:type="dxa"/>
            <w:bottom w:w="0" w:type="dxa"/>
            <w:right w:w="108" w:type="dxa"/>
          </w:tblCellMar>
        </w:tblPrEx>
        <w:trPr>
          <w:trHeight w:val="2276" w:hRule="atLeast"/>
        </w:trPr>
        <w:tc>
          <w:tcPr>
            <w:tcW w:w="14084" w:type="dxa"/>
            <w:gridSpan w:val="6"/>
            <w:tcBorders>
              <w:top w:val="nil"/>
              <w:left w:val="nil"/>
              <w:bottom w:val="nil"/>
              <w:right w:val="nil"/>
            </w:tcBorders>
            <w:noWrap/>
            <w:vAlign w:val="bottom"/>
          </w:tcPr>
          <w:p>
            <w:pPr>
              <w:keepNext w:val="0"/>
              <w:keepLines w:val="0"/>
              <w:pageBreakBefore w:val="0"/>
              <w:widowControl/>
              <w:spacing w:line="360" w:lineRule="exact"/>
              <w:jc w:val="center"/>
              <w:rPr>
                <w:rFonts w:hint="eastAsia" w:ascii="Arial" w:hAnsi="Arial" w:cs="Arial"/>
                <w:i w:val="0"/>
                <w:iCs w:val="0"/>
                <w:color w:val="000000"/>
                <w:sz w:val="20"/>
                <w:szCs w:val="20"/>
                <w:u w:val="none"/>
              </w:rPr>
            </w:pPr>
            <w:r>
              <w:rPr>
                <w:rFonts w:hint="eastAsia" w:ascii="宋体" w:hAnsi="宋体" w:eastAsia="宋体" w:cs="宋体"/>
                <w:i w:val="0"/>
                <w:iCs w:val="0"/>
                <w:color w:val="000000"/>
                <w:sz w:val="30"/>
                <w:szCs w:val="30"/>
                <w:u w:val="none"/>
                <w:lang w:val="en-US" w:eastAsia="zh-CN" w:bidi="ar"/>
              </w:rPr>
              <w:t>一、收入支出决算总表</w:t>
            </w:r>
          </w:p>
          <w:p>
            <w:pPr>
              <w:keepNext w:val="0"/>
              <w:keepLines w:val="0"/>
              <w:pageBreakBefore w:val="0"/>
              <w:widowControl/>
              <w:suppressLineNumbers w:val="0"/>
              <w:spacing w:line="360" w:lineRule="exact"/>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部门：淮南市财政局（本级）                                                                                                           公开01表</w:t>
            </w:r>
          </w:p>
          <w:p>
            <w:pPr>
              <w:keepNext w:val="0"/>
              <w:keepLines w:val="0"/>
              <w:pageBreakBefore w:val="0"/>
              <w:widowControl/>
              <w:suppressLineNumbers w:val="0"/>
              <w:spacing w:line="36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单位：万元</w:t>
            </w:r>
          </w:p>
        </w:tc>
      </w:tr>
      <w:tr>
        <w:tblPrEx>
          <w:tblCellMar>
            <w:top w:w="0" w:type="dxa"/>
            <w:left w:w="108" w:type="dxa"/>
            <w:bottom w:w="0" w:type="dxa"/>
            <w:right w:w="108" w:type="dxa"/>
          </w:tblCellMar>
        </w:tblPrEx>
        <w:trPr>
          <w:trHeight w:val="308" w:hRule="atLeast"/>
        </w:trPr>
        <w:tc>
          <w:tcPr>
            <w:tcW w:w="7019"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收入</w:t>
            </w:r>
          </w:p>
        </w:tc>
        <w:tc>
          <w:tcPr>
            <w:tcW w:w="7065" w:type="dxa"/>
            <w:gridSpan w:val="3"/>
            <w:tcBorders>
              <w:top w:val="single" w:color="000000" w:sz="4" w:space="0"/>
              <w:left w:val="nil"/>
              <w:bottom w:val="single" w:color="000000" w:sz="4" w:space="0"/>
              <w:right w:val="single" w:color="000000" w:sz="8"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支出</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项目</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行次</w:t>
            </w:r>
          </w:p>
        </w:tc>
        <w:tc>
          <w:tcPr>
            <w:tcW w:w="18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金额</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项目</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行次</w:t>
            </w:r>
          </w:p>
        </w:tc>
        <w:tc>
          <w:tcPr>
            <w:tcW w:w="1590" w:type="dxa"/>
            <w:tcBorders>
              <w:top w:val="nil"/>
              <w:left w:val="nil"/>
              <w:bottom w:val="single" w:color="000000" w:sz="4" w:space="0"/>
              <w:right w:val="single" w:color="000000" w:sz="8"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金额</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栏次</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8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栏次</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590" w:type="dxa"/>
            <w:tcBorders>
              <w:top w:val="nil"/>
              <w:left w:val="nil"/>
              <w:bottom w:val="single" w:color="000000" w:sz="4" w:space="0"/>
              <w:right w:val="single" w:color="000000" w:sz="8"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一、一般公共预算财政拨款收入</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2,329.44</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一、一般公共服务支出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35</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2,045.30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二、政府性基金预算财政拨款收入</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二、外交支出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36</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三、国有资本经营预算财政拨款收入</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三、国防支出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37</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四、上级补助收入</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四、公共安全支出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38</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五、事业收入</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五、教育支出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39</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六、经营收入</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6</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六、科学技术支出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40</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七、附属单位上缴收入</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七、文化旅游体育与传媒支出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41</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八、其他收入</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8</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17.94</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八、社会保障和就业支出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42</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205.77</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9</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九、卫生健康支出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43</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76.40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10</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十、节能环保支出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44</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十一、城乡社区支出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45</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十二、农林水支出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46</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13</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十三、交通运输支出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47</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14</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十四、资源勘探工业信息等支出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48</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15</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十五、商业服务业等支出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49</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16</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十六、金融支出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50</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17</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十七、援助其他地区支出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51</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18</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十八、自然资源海洋气象等支出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52</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19</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十九、住房保障支出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53</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二十、粮油物资储备支出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54</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二十一、国有资本经营预算支出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55</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22</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二十二、灾害防治及应急管理支出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56</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23</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二十三、其他支出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57</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24</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二十四、债务还本支出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58</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25</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二十五、债务付息支出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59</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26</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二十六、抗疫特别国债安排的支出</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60</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本年收入合计</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27</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2,347.37</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本年支出合计</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61</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2,473.76</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使用非财政拨款结余</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28</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结余分配</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62</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年初结转和结余</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29</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312.37</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年末结转和结余</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63</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185.99</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77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w:t>
            </w:r>
          </w:p>
        </w:tc>
        <w:tc>
          <w:tcPr>
            <w:tcW w:w="186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33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14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64</w:t>
            </w:r>
          </w:p>
        </w:tc>
        <w:tc>
          <w:tcPr>
            <w:tcW w:w="1590" w:type="dxa"/>
            <w:tcBorders>
              <w:top w:val="nil"/>
              <w:left w:val="nil"/>
              <w:bottom w:val="single" w:color="000000" w:sz="4" w:space="0"/>
              <w:right w:val="single" w:color="000000" w:sz="8" w:space="0"/>
            </w:tcBorders>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r>
      <w:tr>
        <w:tblPrEx>
          <w:tblCellMar>
            <w:top w:w="0" w:type="dxa"/>
            <w:left w:w="108" w:type="dxa"/>
            <w:bottom w:w="0" w:type="dxa"/>
            <w:right w:w="108" w:type="dxa"/>
          </w:tblCellMar>
        </w:tblPrEx>
        <w:trPr>
          <w:trHeight w:val="308" w:hRule="atLeast"/>
        </w:trPr>
        <w:tc>
          <w:tcPr>
            <w:tcW w:w="4383" w:type="dxa"/>
            <w:tcBorders>
              <w:top w:val="nil"/>
              <w:left w:val="single" w:color="000000" w:sz="4" w:space="0"/>
              <w:bottom w:val="single" w:color="000000" w:sz="8"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总计</w:t>
            </w:r>
          </w:p>
        </w:tc>
        <w:tc>
          <w:tcPr>
            <w:tcW w:w="776" w:type="dxa"/>
            <w:tcBorders>
              <w:top w:val="nil"/>
              <w:left w:val="nil"/>
              <w:bottom w:val="single" w:color="000000" w:sz="8"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w:t>
            </w:r>
          </w:p>
        </w:tc>
        <w:tc>
          <w:tcPr>
            <w:tcW w:w="1860" w:type="dxa"/>
            <w:tcBorders>
              <w:top w:val="nil"/>
              <w:left w:val="nil"/>
              <w:bottom w:val="single" w:color="000000" w:sz="8" w:space="0"/>
              <w:right w:val="single" w:color="000000" w:sz="4"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2,659.74</w:t>
            </w:r>
          </w:p>
        </w:tc>
        <w:tc>
          <w:tcPr>
            <w:tcW w:w="4335" w:type="dxa"/>
            <w:tcBorders>
              <w:top w:val="nil"/>
              <w:left w:val="nil"/>
              <w:bottom w:val="single" w:color="000000" w:sz="8"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总计</w:t>
            </w:r>
          </w:p>
        </w:tc>
        <w:tc>
          <w:tcPr>
            <w:tcW w:w="1140" w:type="dxa"/>
            <w:tcBorders>
              <w:top w:val="nil"/>
              <w:left w:val="nil"/>
              <w:bottom w:val="single" w:color="000000" w:sz="8" w:space="0"/>
              <w:right w:val="single" w:color="000000" w:sz="4" w:space="0"/>
            </w:tcBorders>
            <w:shd w:val="clear" w:color="FFFFFF" w:fill="C0C0C0"/>
            <w:noWrap/>
            <w:vAlign w:val="center"/>
          </w:tcPr>
          <w:p>
            <w:pPr>
              <w:keepNext w:val="0"/>
              <w:keepLines w:val="0"/>
              <w:pageBreakBefore w:val="0"/>
              <w:widowControl/>
              <w:suppressLineNumbers w:val="0"/>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65</w:t>
            </w:r>
          </w:p>
        </w:tc>
        <w:tc>
          <w:tcPr>
            <w:tcW w:w="159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spacing w:line="28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2,659.74</w:t>
            </w:r>
          </w:p>
        </w:tc>
      </w:tr>
      <w:tr>
        <w:tblPrEx>
          <w:tblCellMar>
            <w:top w:w="0" w:type="dxa"/>
            <w:left w:w="108" w:type="dxa"/>
            <w:bottom w:w="0" w:type="dxa"/>
            <w:right w:w="108" w:type="dxa"/>
          </w:tblCellMar>
        </w:tblPrEx>
        <w:trPr>
          <w:trHeight w:val="308" w:hRule="atLeast"/>
        </w:trPr>
        <w:tc>
          <w:tcPr>
            <w:tcW w:w="14084" w:type="dxa"/>
            <w:gridSpan w:val="6"/>
            <w:tcBorders>
              <w:top w:val="nil"/>
              <w:left w:val="nil"/>
              <w:bottom w:val="nil"/>
              <w:right w:val="nil"/>
            </w:tcBorders>
            <w:noWrap/>
            <w:vAlign w:val="center"/>
          </w:tcPr>
          <w:p>
            <w:pPr>
              <w:keepNext w:val="0"/>
              <w:keepLines w:val="0"/>
              <w:pageBreakBefore w:val="0"/>
              <w:widowControl/>
              <w:suppressLineNumbers w:val="0"/>
              <w:spacing w:line="28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注：本表反映部门本年度的总收支和年末结转结余情况；本表金额转换成万元时，因四舍五入可能存在尾差。</w:t>
            </w:r>
          </w:p>
        </w:tc>
      </w:tr>
    </w:tbl>
    <w:p>
      <w:pPr>
        <w:keepNext w:val="0"/>
        <w:keepLines w:val="0"/>
        <w:pageBreakBefore w:val="0"/>
        <w:spacing w:line="280" w:lineRule="exact"/>
        <w:rPr>
          <w:rFonts w:hint="eastAsia" w:ascii="黑体" w:hAnsi="黑体" w:eastAsia="黑体"/>
          <w:szCs w:val="32"/>
        </w:rPr>
      </w:pPr>
    </w:p>
    <w:p>
      <w:pPr>
        <w:keepNext w:val="0"/>
        <w:keepLines w:val="0"/>
        <w:pageBreakBefore w:val="0"/>
        <w:spacing w:line="280" w:lineRule="exact"/>
        <w:rPr>
          <w:rFonts w:hint="eastAsia" w:ascii="黑体" w:hAnsi="黑体" w:eastAsia="黑体"/>
          <w:szCs w:val="32"/>
        </w:rPr>
      </w:pPr>
    </w:p>
    <w:p>
      <w:pPr>
        <w:keepNext w:val="0"/>
        <w:keepLines w:val="0"/>
        <w:pageBreakBefore w:val="0"/>
        <w:spacing w:line="280" w:lineRule="exact"/>
        <w:rPr>
          <w:rFonts w:hint="eastAsia" w:ascii="黑体" w:hAnsi="黑体" w:eastAsia="黑体"/>
          <w:szCs w:val="32"/>
        </w:rPr>
      </w:pPr>
    </w:p>
    <w:p>
      <w:pPr>
        <w:keepNext w:val="0"/>
        <w:keepLines w:val="0"/>
        <w:pageBreakBefore w:val="0"/>
        <w:spacing w:line="280" w:lineRule="exact"/>
        <w:rPr>
          <w:rFonts w:hint="eastAsia" w:ascii="黑体" w:hAnsi="黑体" w:eastAsia="黑体"/>
          <w:szCs w:val="32"/>
        </w:rPr>
      </w:pPr>
    </w:p>
    <w:p>
      <w:pPr>
        <w:keepNext w:val="0"/>
        <w:keepLines w:val="0"/>
        <w:pageBreakBefore w:val="0"/>
        <w:spacing w:line="280" w:lineRule="exact"/>
        <w:rPr>
          <w:rFonts w:hint="eastAsia" w:ascii="黑体" w:hAnsi="黑体" w:eastAsia="黑体"/>
          <w:szCs w:val="32"/>
        </w:rPr>
      </w:pPr>
    </w:p>
    <w:p>
      <w:pPr>
        <w:keepNext w:val="0"/>
        <w:keepLines w:val="0"/>
        <w:pageBreakBefore w:val="0"/>
        <w:spacing w:line="280" w:lineRule="exact"/>
        <w:rPr>
          <w:rFonts w:hint="eastAsia" w:ascii="黑体" w:hAnsi="黑体" w:eastAsia="黑体"/>
          <w:szCs w:val="32"/>
        </w:rPr>
      </w:pPr>
    </w:p>
    <w:p>
      <w:pPr>
        <w:keepNext w:val="0"/>
        <w:keepLines w:val="0"/>
        <w:pageBreakBefore w:val="0"/>
        <w:spacing w:line="280" w:lineRule="exact"/>
        <w:rPr>
          <w:rFonts w:hint="eastAsia" w:ascii="黑体" w:hAnsi="黑体" w:eastAsia="黑体"/>
          <w:szCs w:val="32"/>
        </w:rPr>
      </w:pPr>
    </w:p>
    <w:p>
      <w:pPr>
        <w:keepNext w:val="0"/>
        <w:keepLines w:val="0"/>
        <w:pageBreakBefore w:val="0"/>
        <w:spacing w:line="280" w:lineRule="exact"/>
        <w:rPr>
          <w:rFonts w:hint="eastAsia" w:ascii="黑体" w:hAnsi="黑体" w:eastAsia="黑体"/>
          <w:szCs w:val="32"/>
        </w:rPr>
      </w:pPr>
    </w:p>
    <w:p>
      <w:pPr>
        <w:keepNext w:val="0"/>
        <w:keepLines w:val="0"/>
        <w:pageBreakBefore w:val="0"/>
        <w:spacing w:line="280" w:lineRule="exact"/>
        <w:rPr>
          <w:rFonts w:hint="eastAsia" w:ascii="黑体" w:hAnsi="黑体" w:eastAsia="黑体"/>
          <w:szCs w:val="32"/>
        </w:rPr>
      </w:pPr>
    </w:p>
    <w:p>
      <w:pPr>
        <w:keepNext w:val="0"/>
        <w:keepLines w:val="0"/>
        <w:pageBreakBefore w:val="0"/>
        <w:spacing w:line="280" w:lineRule="exact"/>
        <w:rPr>
          <w:rFonts w:hint="eastAsia" w:ascii="黑体" w:hAnsi="黑体" w:eastAsia="黑体"/>
          <w:szCs w:val="32"/>
        </w:rPr>
      </w:pPr>
    </w:p>
    <w:p>
      <w:pPr>
        <w:keepNext w:val="0"/>
        <w:keepLines w:val="0"/>
        <w:pageBreakBefore w:val="0"/>
        <w:spacing w:line="280" w:lineRule="exact"/>
        <w:rPr>
          <w:rFonts w:hint="eastAsia" w:ascii="黑体" w:hAnsi="黑体" w:eastAsia="黑体"/>
          <w:szCs w:val="32"/>
        </w:rPr>
      </w:pPr>
    </w:p>
    <w:p>
      <w:pPr>
        <w:keepNext w:val="0"/>
        <w:keepLines w:val="0"/>
        <w:pageBreakBefore w:val="0"/>
        <w:spacing w:line="280" w:lineRule="exact"/>
        <w:rPr>
          <w:rFonts w:hint="eastAsia" w:ascii="黑体" w:hAnsi="黑体" w:eastAsia="黑体"/>
          <w:szCs w:val="32"/>
        </w:rPr>
      </w:pPr>
    </w:p>
    <w:tbl>
      <w:tblPr>
        <w:tblStyle w:val="28"/>
        <w:tblW w:w="4997" w:type="pct"/>
        <w:tblInd w:w="-108" w:type="dxa"/>
        <w:tblLayout w:type="autofit"/>
        <w:tblCellMar>
          <w:top w:w="0" w:type="dxa"/>
          <w:left w:w="108" w:type="dxa"/>
          <w:bottom w:w="0" w:type="dxa"/>
          <w:right w:w="108" w:type="dxa"/>
        </w:tblCellMar>
      </w:tblPr>
      <w:tblGrid>
        <w:gridCol w:w="428"/>
        <w:gridCol w:w="428"/>
        <w:gridCol w:w="827"/>
        <w:gridCol w:w="3327"/>
        <w:gridCol w:w="1076"/>
        <w:gridCol w:w="1076"/>
        <w:gridCol w:w="647"/>
        <w:gridCol w:w="608"/>
        <w:gridCol w:w="1155"/>
        <w:gridCol w:w="647"/>
        <w:gridCol w:w="647"/>
        <w:gridCol w:w="2553"/>
      </w:tblGrid>
      <w:tr>
        <w:tblPrEx>
          <w:tblCellMar>
            <w:top w:w="0" w:type="dxa"/>
            <w:left w:w="108" w:type="dxa"/>
            <w:bottom w:w="0" w:type="dxa"/>
            <w:right w:w="108" w:type="dxa"/>
          </w:tblCellMar>
        </w:tblPrEx>
        <w:trPr>
          <w:trHeight w:val="1138" w:hRule="atLeast"/>
        </w:trPr>
        <w:tc>
          <w:tcPr>
            <w:tcW w:w="13303" w:type="dxa"/>
            <w:gridSpan w:val="12"/>
            <w:tcBorders>
              <w:top w:val="nil"/>
              <w:left w:val="nil"/>
              <w:bottom w:val="nil"/>
              <w:right w:val="nil"/>
            </w:tcBorders>
            <w:noWrap/>
            <w:vAlign w:val="bottom"/>
          </w:tcPr>
          <w:p>
            <w:pPr>
              <w:keepNext w:val="0"/>
              <w:keepLines w:val="0"/>
              <w:pageBreakBefore w:val="0"/>
              <w:spacing w:line="400" w:lineRule="exact"/>
              <w:jc w:val="center"/>
              <w:rPr>
                <w:rFonts w:hint="eastAsia" w:ascii="Arial" w:hAnsi="Arial" w:cs="Arial"/>
                <w:i w:val="0"/>
                <w:iCs w:val="0"/>
                <w:color w:val="000000"/>
                <w:sz w:val="20"/>
                <w:szCs w:val="20"/>
                <w:u w:val="none"/>
              </w:rPr>
            </w:pPr>
            <w:r>
              <w:rPr>
                <w:rFonts w:hint="eastAsia" w:ascii="宋体" w:hAnsi="宋体" w:eastAsia="宋体" w:cs="宋体"/>
                <w:i w:val="0"/>
                <w:iCs w:val="0"/>
                <w:color w:val="000000"/>
                <w:sz w:val="30"/>
                <w:szCs w:val="30"/>
                <w:u w:val="none"/>
                <w:lang w:val="en-US" w:eastAsia="zh-CN" w:bidi="ar"/>
              </w:rPr>
              <w:t>二、收入决算表</w:t>
            </w:r>
          </w:p>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公开02表</w:t>
            </w:r>
          </w:p>
        </w:tc>
      </w:tr>
      <w:tr>
        <w:tblPrEx>
          <w:tblCellMar>
            <w:top w:w="0" w:type="dxa"/>
            <w:left w:w="108" w:type="dxa"/>
            <w:bottom w:w="0" w:type="dxa"/>
            <w:right w:w="108" w:type="dxa"/>
          </w:tblCellMar>
        </w:tblPrEx>
        <w:trPr>
          <w:trHeight w:val="255" w:hRule="atLeast"/>
        </w:trPr>
        <w:tc>
          <w:tcPr>
            <w:tcW w:w="5142" w:type="dxa"/>
            <w:gridSpan w:val="4"/>
            <w:tcBorders>
              <w:top w:val="nil"/>
              <w:left w:val="nil"/>
              <w:bottom w:val="nil"/>
              <w:right w:val="nil"/>
            </w:tcBorders>
            <w:noWrap/>
            <w:vAlign w:val="bottom"/>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部门：淮南市财政局（本级）</w:t>
            </w:r>
          </w:p>
        </w:tc>
        <w:tc>
          <w:tcPr>
            <w:tcW w:w="405" w:type="dxa"/>
            <w:tcBorders>
              <w:top w:val="nil"/>
              <w:left w:val="nil"/>
              <w:bottom w:val="nil"/>
              <w:right w:val="nil"/>
            </w:tcBorders>
            <w:noWrap/>
            <w:vAlign w:val="bottom"/>
          </w:tcPr>
          <w:p>
            <w:pPr>
              <w:keepNext w:val="0"/>
              <w:keepLines w:val="0"/>
              <w:pageBreakBefore w:val="0"/>
              <w:spacing w:line="400" w:lineRule="exact"/>
              <w:rPr>
                <w:rFonts w:ascii="Arial" w:hAnsi="Arial" w:cs="Arial"/>
                <w:i w:val="0"/>
                <w:iCs w:val="0"/>
                <w:color w:val="000000"/>
                <w:sz w:val="20"/>
                <w:szCs w:val="20"/>
                <w:u w:val="none"/>
              </w:rPr>
            </w:pPr>
          </w:p>
        </w:tc>
        <w:tc>
          <w:tcPr>
            <w:tcW w:w="405" w:type="dxa"/>
            <w:tcBorders>
              <w:top w:val="nil"/>
              <w:left w:val="nil"/>
              <w:bottom w:val="nil"/>
              <w:right w:val="nil"/>
            </w:tcBorders>
            <w:noWrap/>
            <w:vAlign w:val="bottom"/>
          </w:tcPr>
          <w:p>
            <w:pPr>
              <w:keepNext w:val="0"/>
              <w:keepLines w:val="0"/>
              <w:pageBreakBefore w:val="0"/>
              <w:spacing w:line="400" w:lineRule="exact"/>
              <w:rPr>
                <w:rFonts w:ascii="Arial" w:hAnsi="Arial" w:cs="Arial"/>
                <w:i w:val="0"/>
                <w:iCs w:val="0"/>
                <w:color w:val="000000"/>
                <w:sz w:val="20"/>
                <w:szCs w:val="20"/>
                <w:u w:val="none"/>
              </w:rPr>
            </w:pPr>
          </w:p>
        </w:tc>
        <w:tc>
          <w:tcPr>
            <w:tcW w:w="633" w:type="dxa"/>
            <w:tcBorders>
              <w:top w:val="nil"/>
              <w:left w:val="nil"/>
              <w:bottom w:val="nil"/>
              <w:right w:val="nil"/>
            </w:tcBorders>
            <w:noWrap/>
            <w:vAlign w:val="bottom"/>
          </w:tcPr>
          <w:p>
            <w:pPr>
              <w:keepNext w:val="0"/>
              <w:keepLines w:val="0"/>
              <w:pageBreakBefore w:val="0"/>
              <w:spacing w:line="400" w:lineRule="exact"/>
              <w:rPr>
                <w:rFonts w:ascii="Arial" w:hAnsi="Arial" w:cs="Arial"/>
                <w:i w:val="0"/>
                <w:iCs w:val="0"/>
                <w:color w:val="000000"/>
                <w:sz w:val="20"/>
                <w:szCs w:val="20"/>
                <w:u w:val="none"/>
              </w:rPr>
            </w:pPr>
          </w:p>
        </w:tc>
        <w:tc>
          <w:tcPr>
            <w:tcW w:w="228" w:type="dxa"/>
            <w:tcBorders>
              <w:top w:val="nil"/>
              <w:left w:val="nil"/>
              <w:bottom w:val="nil"/>
              <w:right w:val="nil"/>
            </w:tcBorders>
            <w:noWrap/>
            <w:vAlign w:val="bottom"/>
          </w:tcPr>
          <w:p>
            <w:pPr>
              <w:keepNext w:val="0"/>
              <w:keepLines w:val="0"/>
              <w:pageBreakBefore w:val="0"/>
              <w:spacing w:line="400" w:lineRule="exact"/>
              <w:rPr>
                <w:rFonts w:ascii="Arial" w:hAnsi="Arial" w:cs="Arial"/>
                <w:i w:val="0"/>
                <w:iCs w:val="0"/>
                <w:color w:val="000000"/>
                <w:sz w:val="20"/>
                <w:szCs w:val="20"/>
                <w:u w:val="none"/>
              </w:rPr>
            </w:pPr>
          </w:p>
        </w:tc>
        <w:tc>
          <w:tcPr>
            <w:tcW w:w="302" w:type="dxa"/>
            <w:tcBorders>
              <w:top w:val="nil"/>
              <w:left w:val="nil"/>
              <w:bottom w:val="nil"/>
              <w:right w:val="nil"/>
            </w:tcBorders>
            <w:noWrap/>
            <w:vAlign w:val="bottom"/>
          </w:tcPr>
          <w:p>
            <w:pPr>
              <w:keepNext w:val="0"/>
              <w:keepLines w:val="0"/>
              <w:pageBreakBefore w:val="0"/>
              <w:spacing w:line="400" w:lineRule="exact"/>
              <w:rPr>
                <w:rFonts w:ascii="Arial" w:hAnsi="Arial" w:cs="Arial"/>
                <w:i w:val="0"/>
                <w:iCs w:val="0"/>
                <w:color w:val="000000"/>
                <w:sz w:val="20"/>
                <w:szCs w:val="20"/>
                <w:u w:val="none"/>
              </w:rPr>
            </w:pPr>
          </w:p>
        </w:tc>
        <w:tc>
          <w:tcPr>
            <w:tcW w:w="323" w:type="dxa"/>
            <w:tcBorders>
              <w:top w:val="nil"/>
              <w:left w:val="nil"/>
              <w:bottom w:val="nil"/>
              <w:right w:val="nil"/>
            </w:tcBorders>
            <w:noWrap/>
            <w:vAlign w:val="bottom"/>
          </w:tcPr>
          <w:p>
            <w:pPr>
              <w:keepNext w:val="0"/>
              <w:keepLines w:val="0"/>
              <w:pageBreakBefore w:val="0"/>
              <w:spacing w:line="400" w:lineRule="exact"/>
              <w:rPr>
                <w:rFonts w:ascii="Arial" w:hAnsi="Arial" w:cs="Arial"/>
                <w:i w:val="0"/>
                <w:iCs w:val="0"/>
                <w:color w:val="000000"/>
                <w:sz w:val="20"/>
                <w:szCs w:val="20"/>
                <w:u w:val="none"/>
              </w:rPr>
            </w:pPr>
          </w:p>
        </w:tc>
        <w:tc>
          <w:tcPr>
            <w:tcW w:w="323" w:type="dxa"/>
            <w:tcBorders>
              <w:top w:val="nil"/>
              <w:left w:val="nil"/>
              <w:bottom w:val="nil"/>
              <w:right w:val="nil"/>
            </w:tcBorders>
            <w:noWrap/>
            <w:vAlign w:val="bottom"/>
          </w:tcPr>
          <w:p>
            <w:pPr>
              <w:keepNext w:val="0"/>
              <w:keepLines w:val="0"/>
              <w:pageBreakBefore w:val="0"/>
              <w:spacing w:line="400" w:lineRule="exact"/>
              <w:rPr>
                <w:rFonts w:ascii="Arial" w:hAnsi="Arial" w:cs="Arial"/>
                <w:i w:val="0"/>
                <w:iCs w:val="0"/>
                <w:color w:val="000000"/>
                <w:sz w:val="20"/>
                <w:szCs w:val="20"/>
                <w:u w:val="none"/>
              </w:rPr>
            </w:pPr>
          </w:p>
        </w:tc>
        <w:tc>
          <w:tcPr>
            <w:tcW w:w="445" w:type="dxa"/>
            <w:tcBorders>
              <w:top w:val="nil"/>
              <w:left w:val="nil"/>
              <w:bottom w:val="nil"/>
              <w:right w:val="nil"/>
            </w:tcBorders>
            <w:noWrap/>
            <w:vAlign w:val="bottom"/>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单位：万元</w:t>
            </w:r>
          </w:p>
        </w:tc>
      </w:tr>
      <w:tr>
        <w:tblPrEx>
          <w:tblCellMar>
            <w:top w:w="0" w:type="dxa"/>
            <w:left w:w="108" w:type="dxa"/>
            <w:bottom w:w="0" w:type="dxa"/>
            <w:right w:w="108" w:type="dxa"/>
          </w:tblCellMar>
        </w:tblPrEx>
        <w:trPr>
          <w:trHeight w:val="308" w:hRule="atLeast"/>
        </w:trPr>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科目编码</w:t>
            </w:r>
          </w:p>
        </w:tc>
        <w:tc>
          <w:tcPr>
            <w:tcW w:w="1447"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科目名称</w:t>
            </w:r>
          </w:p>
        </w:tc>
        <w:tc>
          <w:tcPr>
            <w:tcW w:w="405"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本年收入合计</w:t>
            </w:r>
          </w:p>
        </w:tc>
        <w:tc>
          <w:tcPr>
            <w:tcW w:w="405"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财政拨款收入</w:t>
            </w:r>
          </w:p>
        </w:tc>
        <w:tc>
          <w:tcPr>
            <w:tcW w:w="633"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上级补助收入</w:t>
            </w:r>
          </w:p>
        </w:tc>
        <w:tc>
          <w:tcPr>
            <w:tcW w:w="1412" w:type="dxa"/>
            <w:gridSpan w:val="2"/>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事业收入</w:t>
            </w:r>
          </w:p>
        </w:tc>
        <w:tc>
          <w:tcPr>
            <w:tcW w:w="323"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经营收入</w:t>
            </w:r>
          </w:p>
        </w:tc>
        <w:tc>
          <w:tcPr>
            <w:tcW w:w="323"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附属单位上缴收入</w:t>
            </w:r>
          </w:p>
        </w:tc>
        <w:tc>
          <w:tcPr>
            <w:tcW w:w="445"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其他收入</w:t>
            </w:r>
          </w:p>
        </w:tc>
      </w:tr>
      <w:tr>
        <w:tblPrEx>
          <w:tblCellMar>
            <w:top w:w="0" w:type="dxa"/>
            <w:left w:w="108" w:type="dxa"/>
            <w:bottom w:w="0" w:type="dxa"/>
            <w:right w:w="108" w:type="dxa"/>
          </w:tblCellMar>
        </w:tblPrEx>
        <w:trPr>
          <w:trHeight w:val="308" w:hRule="atLeast"/>
        </w:trPr>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spacing w:line="400" w:lineRule="exact"/>
              <w:jc w:val="center"/>
              <w:rPr>
                <w:rFonts w:hint="eastAsia" w:ascii="宋体" w:hAnsi="宋体" w:eastAsia="宋体" w:cs="宋体"/>
                <w:i w:val="0"/>
                <w:iCs w:val="0"/>
                <w:color w:val="000000"/>
                <w:sz w:val="22"/>
                <w:szCs w:val="22"/>
                <w:u w:val="none"/>
              </w:rPr>
            </w:pPr>
          </w:p>
        </w:tc>
        <w:tc>
          <w:tcPr>
            <w:tcW w:w="1447"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pageBreakBefore w:val="0"/>
              <w:spacing w:line="400" w:lineRule="exact"/>
              <w:jc w:val="center"/>
              <w:rPr>
                <w:rFonts w:hint="eastAsia" w:ascii="宋体" w:hAnsi="宋体" w:eastAsia="宋体" w:cs="宋体"/>
                <w:i w:val="0"/>
                <w:iCs w:val="0"/>
                <w:color w:val="000000"/>
                <w:sz w:val="22"/>
                <w:szCs w:val="22"/>
                <w:u w:val="none"/>
              </w:rPr>
            </w:pPr>
          </w:p>
        </w:tc>
        <w:tc>
          <w:tcPr>
            <w:tcW w:w="405"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spacing w:line="400" w:lineRule="exact"/>
              <w:jc w:val="center"/>
              <w:rPr>
                <w:rFonts w:hint="eastAsia" w:ascii="宋体" w:hAnsi="宋体" w:eastAsia="宋体" w:cs="宋体"/>
                <w:i w:val="0"/>
                <w:iCs w:val="0"/>
                <w:color w:val="000000"/>
                <w:sz w:val="22"/>
                <w:szCs w:val="22"/>
                <w:u w:val="none"/>
              </w:rPr>
            </w:pPr>
          </w:p>
        </w:tc>
        <w:tc>
          <w:tcPr>
            <w:tcW w:w="405"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spacing w:line="400" w:lineRule="exact"/>
              <w:jc w:val="center"/>
              <w:rPr>
                <w:rFonts w:hint="eastAsia" w:ascii="宋体" w:hAnsi="宋体" w:eastAsia="宋体" w:cs="宋体"/>
                <w:i w:val="0"/>
                <w:iCs w:val="0"/>
                <w:color w:val="000000"/>
                <w:sz w:val="22"/>
                <w:szCs w:val="22"/>
                <w:u w:val="none"/>
              </w:rPr>
            </w:pPr>
          </w:p>
        </w:tc>
        <w:tc>
          <w:tcPr>
            <w:tcW w:w="633"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spacing w:line="400" w:lineRule="exact"/>
              <w:jc w:val="center"/>
              <w:rPr>
                <w:rFonts w:hint="eastAsia" w:ascii="宋体" w:hAnsi="宋体" w:eastAsia="宋体" w:cs="宋体"/>
                <w:i w:val="0"/>
                <w:iCs w:val="0"/>
                <w:color w:val="000000"/>
                <w:sz w:val="22"/>
                <w:szCs w:val="22"/>
                <w:u w:val="none"/>
              </w:rPr>
            </w:pPr>
          </w:p>
        </w:tc>
        <w:tc>
          <w:tcPr>
            <w:tcW w:w="228"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小计</w:t>
            </w:r>
          </w:p>
        </w:tc>
        <w:tc>
          <w:tcPr>
            <w:tcW w:w="302"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其中：教育收费</w:t>
            </w:r>
          </w:p>
        </w:tc>
        <w:tc>
          <w:tcPr>
            <w:tcW w:w="323"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spacing w:line="400" w:lineRule="exact"/>
              <w:jc w:val="center"/>
              <w:rPr>
                <w:rFonts w:hint="eastAsia" w:ascii="宋体" w:hAnsi="宋体" w:eastAsia="宋体" w:cs="宋体"/>
                <w:i w:val="0"/>
                <w:iCs w:val="0"/>
                <w:color w:val="000000"/>
                <w:sz w:val="22"/>
                <w:szCs w:val="22"/>
                <w:u w:val="none"/>
              </w:rPr>
            </w:pPr>
          </w:p>
        </w:tc>
        <w:tc>
          <w:tcPr>
            <w:tcW w:w="323"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spacing w:line="400" w:lineRule="exact"/>
              <w:jc w:val="center"/>
              <w:rPr>
                <w:rFonts w:hint="eastAsia" w:ascii="宋体" w:hAnsi="宋体" w:eastAsia="宋体" w:cs="宋体"/>
                <w:i w:val="0"/>
                <w:iCs w:val="0"/>
                <w:color w:val="000000"/>
                <w:sz w:val="22"/>
                <w:szCs w:val="22"/>
                <w:u w:val="none"/>
              </w:rPr>
            </w:pPr>
          </w:p>
        </w:tc>
        <w:tc>
          <w:tcPr>
            <w:tcW w:w="445"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spacing w:line="400" w:lineRule="exact"/>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161" w:type="dxa"/>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类</w:t>
            </w:r>
          </w:p>
        </w:tc>
        <w:tc>
          <w:tcPr>
            <w:tcW w:w="161"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款</w:t>
            </w:r>
          </w:p>
        </w:tc>
        <w:tc>
          <w:tcPr>
            <w:tcW w:w="161"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项</w:t>
            </w:r>
          </w:p>
        </w:tc>
        <w:tc>
          <w:tcPr>
            <w:tcW w:w="1447"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栏次</w:t>
            </w:r>
          </w:p>
        </w:tc>
        <w:tc>
          <w:tcPr>
            <w:tcW w:w="405" w:type="dxa"/>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w:t>
            </w:r>
          </w:p>
        </w:tc>
        <w:tc>
          <w:tcPr>
            <w:tcW w:w="405" w:type="dxa"/>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w:t>
            </w:r>
          </w:p>
        </w:tc>
        <w:tc>
          <w:tcPr>
            <w:tcW w:w="633" w:type="dxa"/>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w:t>
            </w:r>
          </w:p>
        </w:tc>
        <w:tc>
          <w:tcPr>
            <w:tcW w:w="228" w:type="dxa"/>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4</w:t>
            </w:r>
          </w:p>
        </w:tc>
        <w:tc>
          <w:tcPr>
            <w:tcW w:w="302" w:type="dxa"/>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w:t>
            </w:r>
          </w:p>
        </w:tc>
        <w:tc>
          <w:tcPr>
            <w:tcW w:w="323" w:type="dxa"/>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6</w:t>
            </w:r>
          </w:p>
        </w:tc>
        <w:tc>
          <w:tcPr>
            <w:tcW w:w="323" w:type="dxa"/>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w:t>
            </w:r>
          </w:p>
        </w:tc>
        <w:tc>
          <w:tcPr>
            <w:tcW w:w="445" w:type="dxa"/>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8</w:t>
            </w:r>
          </w:p>
        </w:tc>
      </w:tr>
      <w:tr>
        <w:tblPrEx>
          <w:tblCellMar>
            <w:top w:w="0" w:type="dxa"/>
            <w:left w:w="108" w:type="dxa"/>
            <w:bottom w:w="0" w:type="dxa"/>
            <w:right w:w="108" w:type="dxa"/>
          </w:tblCellMar>
        </w:tblPrEx>
        <w:trPr>
          <w:trHeight w:val="308" w:hRule="atLeast"/>
        </w:trPr>
        <w:tc>
          <w:tcPr>
            <w:tcW w:w="161" w:type="dxa"/>
            <w:vMerge w:val="continue"/>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spacing w:line="400" w:lineRule="exact"/>
              <w:jc w:val="center"/>
              <w:rPr>
                <w:rFonts w:hint="eastAsia" w:ascii="宋体" w:hAnsi="宋体" w:eastAsia="宋体" w:cs="宋体"/>
                <w:i w:val="0"/>
                <w:iCs w:val="0"/>
                <w:color w:val="000000"/>
                <w:sz w:val="22"/>
                <w:szCs w:val="22"/>
                <w:u w:val="none"/>
              </w:rPr>
            </w:pPr>
          </w:p>
        </w:tc>
        <w:tc>
          <w:tcPr>
            <w:tcW w:w="161"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pageBreakBefore w:val="0"/>
              <w:spacing w:line="400" w:lineRule="exact"/>
              <w:jc w:val="center"/>
              <w:rPr>
                <w:rFonts w:hint="eastAsia" w:ascii="宋体" w:hAnsi="宋体" w:eastAsia="宋体" w:cs="宋体"/>
                <w:i w:val="0"/>
                <w:iCs w:val="0"/>
                <w:color w:val="000000"/>
                <w:sz w:val="22"/>
                <w:szCs w:val="22"/>
                <w:u w:val="none"/>
              </w:rPr>
            </w:pPr>
          </w:p>
        </w:tc>
        <w:tc>
          <w:tcPr>
            <w:tcW w:w="161"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pageBreakBefore w:val="0"/>
              <w:spacing w:line="400" w:lineRule="exact"/>
              <w:jc w:val="center"/>
              <w:rPr>
                <w:rFonts w:hint="eastAsia" w:ascii="宋体" w:hAnsi="宋体" w:eastAsia="宋体" w:cs="宋体"/>
                <w:i w:val="0"/>
                <w:iCs w:val="0"/>
                <w:color w:val="000000"/>
                <w:sz w:val="22"/>
                <w:szCs w:val="22"/>
                <w:u w:val="none"/>
              </w:rPr>
            </w:pPr>
          </w:p>
        </w:tc>
        <w:tc>
          <w:tcPr>
            <w:tcW w:w="1447"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40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合计</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2,347.37</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2,329.44</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17.94</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一般公共服务支出</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1,922.36</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1,904.42</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17.94</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财政事务</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1,916.96</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1,899.02</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17.94</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2010601</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行政运行</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1,197.08</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1,197.08</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2010602</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一般行政管理事务</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445.18</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427.25</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17.94</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2010605</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财政国库业务</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13.92</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13.92</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2010607</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信息化建设</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20.25</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20.25</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2010608</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财政委托业务支出</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13.14</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13.14</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2010650</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事业运行</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24.10</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24.10</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2010699</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其他财政事务支出</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203.29</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203.29</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20132</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组织事务</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5.40</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5.40</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2013299</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其他组织事务支出</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5.40</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5.40</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208</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社会保障和就业支出</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202.33</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202.33</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20805</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行政事业单位养老支出</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202.33</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202.33</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2080501</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行政单位离退休</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79.71</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79.71</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2080505</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机关事业单位基本养老保险缴费支出</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110.67</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110.67</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2080506</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机关事业单位职业年金缴费支出</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11.95</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11.95</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210</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卫生健康支出</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76.40</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76.40</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21011</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行政事业单位医疗</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76.40</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76.40</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2101101</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行政单位医疗</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53.17</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53.17</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2101103</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公务员医疗补助</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23.24</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23.24</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212</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城乡社区支出</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21202</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城乡社区规划与管理</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2120201</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城乡社区规划与管理</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221</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住房保障支出</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22102</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住房改革支出</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2210201</w:t>
            </w:r>
          </w:p>
        </w:tc>
        <w:tc>
          <w:tcPr>
            <w:tcW w:w="144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住房公积金</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c>
          <w:tcPr>
            <w:tcW w:w="40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c>
          <w:tcPr>
            <w:tcW w:w="63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2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c>
          <w:tcPr>
            <w:tcW w:w="3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2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4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40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303" w:type="dxa"/>
            <w:gridSpan w:val="12"/>
            <w:tcBorders>
              <w:top w:val="nil"/>
              <w:left w:val="nil"/>
              <w:bottom w:val="nil"/>
              <w:right w:val="nil"/>
            </w:tcBorders>
            <w:noWrap/>
            <w:vAlign w:val="center"/>
          </w:tcPr>
          <w:p>
            <w:pPr>
              <w:keepNext w:val="0"/>
              <w:keepLines w:val="0"/>
              <w:pageBreakBefore w:val="0"/>
              <w:widowControl/>
              <w:suppressLineNumbers w:val="0"/>
              <w:spacing w:line="40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注：本表反映部门本年度取得的各项收入情况；本表金额转换成万元时，因四舍五入可能存在尾差。</w:t>
            </w:r>
          </w:p>
        </w:tc>
      </w:tr>
    </w:tbl>
    <w:p>
      <w:pPr>
        <w:keepNext w:val="0"/>
        <w:keepLines w:val="0"/>
        <w:pageBreakBefore w:val="0"/>
        <w:spacing w:line="400" w:lineRule="exact"/>
        <w:rPr>
          <w:rFonts w:hint="eastAsia" w:ascii="黑体" w:hAnsi="黑体" w:eastAsia="黑体"/>
          <w:szCs w:val="32"/>
        </w:rPr>
      </w:pPr>
    </w:p>
    <w:p>
      <w:pPr>
        <w:keepNext w:val="0"/>
        <w:keepLines w:val="0"/>
        <w:pageBreakBefore w:val="0"/>
        <w:spacing w:line="400" w:lineRule="exact"/>
        <w:rPr>
          <w:rFonts w:hint="eastAsia" w:ascii="黑体" w:hAnsi="黑体" w:eastAsia="黑体"/>
          <w:szCs w:val="32"/>
        </w:rPr>
      </w:pPr>
    </w:p>
    <w:p>
      <w:pPr>
        <w:keepNext w:val="0"/>
        <w:keepLines w:val="0"/>
        <w:pageBreakBefore w:val="0"/>
        <w:spacing w:line="400" w:lineRule="exact"/>
        <w:rPr>
          <w:rFonts w:hint="eastAsia" w:ascii="黑体" w:hAnsi="黑体" w:eastAsia="黑体"/>
          <w:szCs w:val="32"/>
        </w:rPr>
      </w:pPr>
    </w:p>
    <w:tbl>
      <w:tblPr>
        <w:tblStyle w:val="28"/>
        <w:tblW w:w="5000" w:type="pct"/>
        <w:tblInd w:w="-108" w:type="dxa"/>
        <w:tblLayout w:type="fixed"/>
        <w:tblCellMar>
          <w:top w:w="0" w:type="dxa"/>
          <w:left w:w="108" w:type="dxa"/>
          <w:bottom w:w="0" w:type="dxa"/>
          <w:right w:w="108" w:type="dxa"/>
        </w:tblCellMar>
      </w:tblPr>
      <w:tblGrid>
        <w:gridCol w:w="433"/>
        <w:gridCol w:w="433"/>
        <w:gridCol w:w="444"/>
        <w:gridCol w:w="3578"/>
        <w:gridCol w:w="1824"/>
        <w:gridCol w:w="1470"/>
        <w:gridCol w:w="1358"/>
        <w:gridCol w:w="1158"/>
        <w:gridCol w:w="1140"/>
        <w:gridCol w:w="1473"/>
      </w:tblGrid>
      <w:tr>
        <w:tblPrEx>
          <w:tblCellMar>
            <w:top w:w="0" w:type="dxa"/>
            <w:left w:w="108" w:type="dxa"/>
            <w:bottom w:w="0" w:type="dxa"/>
            <w:right w:w="108" w:type="dxa"/>
          </w:tblCellMar>
        </w:tblPrEx>
        <w:trPr>
          <w:trHeight w:val="1707" w:hRule="atLeast"/>
        </w:trPr>
        <w:tc>
          <w:tcPr>
            <w:tcW w:w="13311" w:type="dxa"/>
            <w:gridSpan w:val="10"/>
            <w:tcBorders>
              <w:top w:val="nil"/>
              <w:left w:val="nil"/>
              <w:bottom w:val="nil"/>
              <w:right w:val="nil"/>
            </w:tcBorders>
            <w:noWrap/>
            <w:vAlign w:val="bottom"/>
          </w:tcPr>
          <w:p>
            <w:pPr>
              <w:keepNext w:val="0"/>
              <w:keepLines w:val="0"/>
              <w:pageBreakBefore w:val="0"/>
              <w:widowControl/>
              <w:spacing w:line="340" w:lineRule="exact"/>
              <w:jc w:val="center"/>
              <w:rPr>
                <w:rFonts w:hint="eastAsia" w:ascii="Arial" w:hAnsi="Arial" w:cs="Arial"/>
                <w:i w:val="0"/>
                <w:iCs w:val="0"/>
                <w:color w:val="000000"/>
                <w:sz w:val="20"/>
                <w:szCs w:val="20"/>
                <w:u w:val="none"/>
              </w:rPr>
            </w:pPr>
            <w:r>
              <w:rPr>
                <w:rFonts w:hint="eastAsia" w:ascii="宋体" w:hAnsi="宋体" w:eastAsia="宋体" w:cs="宋体"/>
                <w:i w:val="0"/>
                <w:iCs w:val="0"/>
                <w:color w:val="000000"/>
                <w:sz w:val="30"/>
                <w:szCs w:val="30"/>
                <w:u w:val="none"/>
                <w:lang w:val="en-US" w:eastAsia="zh-CN" w:bidi="ar"/>
              </w:rPr>
              <w:t>三、支出决算表</w:t>
            </w:r>
          </w:p>
          <w:p>
            <w:pPr>
              <w:keepNext w:val="0"/>
              <w:keepLines w:val="0"/>
              <w:pageBreakBefore w:val="0"/>
              <w:widowControl/>
              <w:suppressLineNumbers w:val="0"/>
              <w:spacing w:line="34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公开03表</w:t>
            </w:r>
          </w:p>
          <w:p>
            <w:pPr>
              <w:keepNext w:val="0"/>
              <w:keepLines w:val="0"/>
              <w:pageBreakBefore w:val="0"/>
              <w:widowControl/>
              <w:suppressLineNumbers w:val="0"/>
              <w:spacing w:line="340" w:lineRule="exact"/>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部门：淮南市财政局（本级）                                                                                                   单位：万元</w:t>
            </w:r>
          </w:p>
        </w:tc>
      </w:tr>
      <w:tr>
        <w:tblPrEx>
          <w:tblCellMar>
            <w:top w:w="0" w:type="dxa"/>
            <w:left w:w="108" w:type="dxa"/>
            <w:bottom w:w="0" w:type="dxa"/>
            <w:right w:w="108" w:type="dxa"/>
          </w:tblCellMar>
        </w:tblPrEx>
        <w:trPr>
          <w:trHeight w:val="308" w:hRule="atLeast"/>
        </w:trPr>
        <w:tc>
          <w:tcPr>
            <w:tcW w:w="1310"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科目编码</w:t>
            </w:r>
          </w:p>
        </w:tc>
        <w:tc>
          <w:tcPr>
            <w:tcW w:w="1344"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科目名称</w:t>
            </w:r>
          </w:p>
        </w:tc>
        <w:tc>
          <w:tcPr>
            <w:tcW w:w="685"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本年支出合计</w:t>
            </w:r>
          </w:p>
        </w:tc>
        <w:tc>
          <w:tcPr>
            <w:tcW w:w="552"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基本支出</w:t>
            </w:r>
          </w:p>
        </w:tc>
        <w:tc>
          <w:tcPr>
            <w:tcW w:w="510"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项目支出</w:t>
            </w:r>
          </w:p>
        </w:tc>
        <w:tc>
          <w:tcPr>
            <w:tcW w:w="434"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上缴上级支出</w:t>
            </w:r>
          </w:p>
        </w:tc>
        <w:tc>
          <w:tcPr>
            <w:tcW w:w="428"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经营支出</w:t>
            </w:r>
          </w:p>
        </w:tc>
        <w:tc>
          <w:tcPr>
            <w:tcW w:w="553"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对附属单位补助支出</w:t>
            </w:r>
          </w:p>
        </w:tc>
      </w:tr>
      <w:tr>
        <w:trPr>
          <w:trHeight w:val="308" w:hRule="atLeast"/>
        </w:trPr>
        <w:tc>
          <w:tcPr>
            <w:tcW w:w="162" w:type="dxa"/>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类</w:t>
            </w:r>
          </w:p>
        </w:tc>
        <w:tc>
          <w:tcPr>
            <w:tcW w:w="162"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款</w:t>
            </w:r>
          </w:p>
        </w:tc>
        <w:tc>
          <w:tcPr>
            <w:tcW w:w="16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项</w:t>
            </w:r>
          </w:p>
        </w:tc>
        <w:tc>
          <w:tcPr>
            <w:tcW w:w="1344"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栏次</w:t>
            </w:r>
          </w:p>
        </w:tc>
        <w:tc>
          <w:tcPr>
            <w:tcW w:w="685" w:type="dxa"/>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w:t>
            </w:r>
          </w:p>
        </w:tc>
        <w:tc>
          <w:tcPr>
            <w:tcW w:w="552" w:type="dxa"/>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w:t>
            </w:r>
          </w:p>
        </w:tc>
        <w:tc>
          <w:tcPr>
            <w:tcW w:w="510" w:type="dxa"/>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w:t>
            </w:r>
          </w:p>
        </w:tc>
        <w:tc>
          <w:tcPr>
            <w:tcW w:w="434" w:type="dxa"/>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w:t>
            </w:r>
          </w:p>
        </w:tc>
        <w:tc>
          <w:tcPr>
            <w:tcW w:w="428" w:type="dxa"/>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w:t>
            </w:r>
          </w:p>
        </w:tc>
        <w:tc>
          <w:tcPr>
            <w:tcW w:w="553" w:type="dxa"/>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6</w:t>
            </w:r>
          </w:p>
        </w:tc>
      </w:tr>
      <w:tr>
        <w:tblPrEx>
          <w:tblCellMar>
            <w:top w:w="0" w:type="dxa"/>
            <w:left w:w="108" w:type="dxa"/>
            <w:bottom w:w="0" w:type="dxa"/>
            <w:right w:w="108" w:type="dxa"/>
          </w:tblCellMar>
        </w:tblPrEx>
        <w:trPr>
          <w:trHeight w:val="90" w:hRule="atLeast"/>
        </w:trPr>
        <w:tc>
          <w:tcPr>
            <w:tcW w:w="162" w:type="dxa"/>
            <w:vMerge w:val="continue"/>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spacing w:line="340" w:lineRule="exact"/>
              <w:jc w:val="center"/>
              <w:rPr>
                <w:rFonts w:hint="eastAsia" w:ascii="宋体" w:hAnsi="宋体" w:eastAsia="宋体" w:cs="宋体"/>
                <w:i w:val="0"/>
                <w:iCs w:val="0"/>
                <w:color w:val="000000"/>
                <w:sz w:val="22"/>
                <w:szCs w:val="22"/>
                <w:u w:val="none"/>
              </w:rPr>
            </w:pPr>
          </w:p>
        </w:tc>
        <w:tc>
          <w:tcPr>
            <w:tcW w:w="162"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pageBreakBefore w:val="0"/>
              <w:spacing w:line="340" w:lineRule="exact"/>
              <w:jc w:val="center"/>
              <w:rPr>
                <w:rFonts w:hint="eastAsia" w:ascii="宋体" w:hAnsi="宋体" w:eastAsia="宋体" w:cs="宋体"/>
                <w:i w:val="0"/>
                <w:iCs w:val="0"/>
                <w:color w:val="000000"/>
                <w:sz w:val="22"/>
                <w:szCs w:val="22"/>
                <w:u w:val="none"/>
              </w:rPr>
            </w:pPr>
          </w:p>
        </w:tc>
        <w:tc>
          <w:tcPr>
            <w:tcW w:w="166"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pageBreakBefore w:val="0"/>
              <w:spacing w:line="340" w:lineRule="exact"/>
              <w:jc w:val="center"/>
              <w:rPr>
                <w:rFonts w:hint="eastAsia" w:ascii="宋体" w:hAnsi="宋体" w:eastAsia="宋体" w:cs="宋体"/>
                <w:i w:val="0"/>
                <w:iCs w:val="0"/>
                <w:color w:val="000000"/>
                <w:sz w:val="22"/>
                <w:szCs w:val="22"/>
                <w:u w:val="none"/>
              </w:rPr>
            </w:pPr>
          </w:p>
        </w:tc>
        <w:tc>
          <w:tcPr>
            <w:tcW w:w="1344"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合计</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2,473.76</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1,643.46</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830.30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一般公共服务支出</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2,045.30</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1,235.00</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810.30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财政事务</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2,039.90</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1,235.00</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804.90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2010601</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行政运行</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1,196.98</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1,196.98</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2010602</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一般行政管理事务</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434.28</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434.28</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2010605</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财政国库业务</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13.92</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13.92</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2010607</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信息化建设</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154.19</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154.19</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2010608</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财政委托业务支出</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13.14</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13.14</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2010650</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事业运行</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24.10</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24.10</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2010699</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其他财政事务支出</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203.29</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203.29</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20132</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组织事务</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5.40</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5.40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2013299</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其他组织事务支出</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5.40</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5.40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208</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社会保障和就业支出</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205.77</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205.77</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20805</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行政事业单位养老支出</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205.77</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205.77</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2080501</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行政单位离退休</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83.16</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83.16</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2080505</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机关事业单位基本养老保险缴费支出</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110.67</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110.67</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2080506</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机关事业单位职业年金缴费支出</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11.95</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11.95</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210</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卫生健康支出</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76.40</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76.40</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21011</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行政事业单位医疗</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76.40</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76.40</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2101101</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行政单位医疗</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53.17</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53.17</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2101103</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公务员医疗补助</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23.24</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23.24</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212</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城乡社区支出</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21202</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城乡社区规划与管理</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2120201</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城乡社区规划与管理</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221</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住房保障支出</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22102</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住房改革支出</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1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2210201</w:t>
            </w:r>
          </w:p>
        </w:tc>
        <w:tc>
          <w:tcPr>
            <w:tcW w:w="134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住房公积金</w:t>
            </w:r>
          </w:p>
        </w:tc>
        <w:tc>
          <w:tcPr>
            <w:tcW w:w="68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c>
          <w:tcPr>
            <w:tcW w:w="55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c>
          <w:tcPr>
            <w:tcW w:w="51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3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55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311" w:type="dxa"/>
            <w:gridSpan w:val="10"/>
            <w:tcBorders>
              <w:top w:val="nil"/>
              <w:left w:val="nil"/>
              <w:bottom w:val="nil"/>
              <w:right w:val="nil"/>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注：本表反映部门本年度各项支出情况；本表金额转换成万元时，因四舍五入可能存在尾差。</w:t>
            </w:r>
          </w:p>
        </w:tc>
      </w:tr>
    </w:tbl>
    <w:p>
      <w:pPr>
        <w:keepNext w:val="0"/>
        <w:keepLines w:val="0"/>
        <w:pageBreakBefore w:val="0"/>
        <w:spacing w:line="340" w:lineRule="exact"/>
        <w:rPr>
          <w:rFonts w:hint="eastAsia" w:ascii="黑体" w:hAnsi="黑体" w:eastAsia="黑体"/>
          <w:szCs w:val="32"/>
        </w:rPr>
      </w:pPr>
    </w:p>
    <w:p>
      <w:pPr>
        <w:keepNext w:val="0"/>
        <w:keepLines w:val="0"/>
        <w:pageBreakBefore w:val="0"/>
        <w:spacing w:line="340" w:lineRule="exact"/>
        <w:rPr>
          <w:rFonts w:hint="eastAsia" w:ascii="黑体" w:hAnsi="黑体" w:eastAsia="黑体"/>
          <w:szCs w:val="32"/>
        </w:rPr>
      </w:pPr>
    </w:p>
    <w:p>
      <w:pPr>
        <w:keepNext w:val="0"/>
        <w:keepLines w:val="0"/>
        <w:pageBreakBefore w:val="0"/>
        <w:spacing w:line="340" w:lineRule="exact"/>
        <w:rPr>
          <w:rFonts w:hint="eastAsia" w:ascii="黑体" w:hAnsi="黑体" w:eastAsia="黑体"/>
          <w:szCs w:val="32"/>
        </w:rPr>
      </w:pPr>
    </w:p>
    <w:p>
      <w:pPr>
        <w:keepNext w:val="0"/>
        <w:keepLines w:val="0"/>
        <w:pageBreakBefore w:val="0"/>
        <w:spacing w:line="340" w:lineRule="exact"/>
        <w:rPr>
          <w:rFonts w:hint="eastAsia" w:ascii="黑体" w:hAnsi="黑体" w:eastAsia="黑体"/>
          <w:szCs w:val="32"/>
        </w:rPr>
      </w:pPr>
    </w:p>
    <w:p>
      <w:pPr>
        <w:keepNext w:val="0"/>
        <w:keepLines w:val="0"/>
        <w:pageBreakBefore w:val="0"/>
        <w:spacing w:line="340" w:lineRule="exact"/>
        <w:rPr>
          <w:rFonts w:hint="eastAsia" w:ascii="黑体" w:hAnsi="黑体" w:eastAsia="黑体"/>
          <w:szCs w:val="32"/>
        </w:rPr>
      </w:pPr>
    </w:p>
    <w:p>
      <w:pPr>
        <w:keepNext w:val="0"/>
        <w:keepLines w:val="0"/>
        <w:pageBreakBefore w:val="0"/>
        <w:spacing w:line="340" w:lineRule="exact"/>
        <w:rPr>
          <w:rFonts w:hint="eastAsia" w:ascii="黑体" w:hAnsi="黑体" w:eastAsia="黑体"/>
          <w:szCs w:val="32"/>
        </w:rPr>
      </w:pPr>
    </w:p>
    <w:p>
      <w:pPr>
        <w:keepNext w:val="0"/>
        <w:keepLines w:val="0"/>
        <w:pageBreakBefore w:val="0"/>
        <w:spacing w:line="340" w:lineRule="exact"/>
        <w:rPr>
          <w:rFonts w:hint="eastAsia" w:ascii="黑体" w:hAnsi="黑体" w:eastAsia="黑体"/>
          <w:szCs w:val="32"/>
        </w:rPr>
      </w:pPr>
    </w:p>
    <w:p>
      <w:pPr>
        <w:keepNext w:val="0"/>
        <w:keepLines w:val="0"/>
        <w:pageBreakBefore w:val="0"/>
        <w:spacing w:line="340" w:lineRule="exact"/>
        <w:rPr>
          <w:rFonts w:hint="eastAsia" w:ascii="黑体" w:hAnsi="黑体" w:eastAsia="黑体"/>
          <w:szCs w:val="32"/>
        </w:rPr>
      </w:pPr>
    </w:p>
    <w:p>
      <w:pPr>
        <w:keepNext w:val="0"/>
        <w:keepLines w:val="0"/>
        <w:pageBreakBefore w:val="0"/>
        <w:spacing w:line="340" w:lineRule="exact"/>
        <w:rPr>
          <w:rFonts w:hint="eastAsia" w:ascii="黑体" w:hAnsi="黑体" w:eastAsia="黑体"/>
          <w:szCs w:val="32"/>
        </w:rPr>
      </w:pPr>
    </w:p>
    <w:tbl>
      <w:tblPr>
        <w:tblStyle w:val="28"/>
        <w:tblW w:w="4998" w:type="pct"/>
        <w:tblInd w:w="-108" w:type="dxa"/>
        <w:tblLayout w:type="autofit"/>
        <w:tblCellMar>
          <w:top w:w="0" w:type="dxa"/>
          <w:left w:w="108" w:type="dxa"/>
          <w:bottom w:w="0" w:type="dxa"/>
          <w:right w:w="108" w:type="dxa"/>
        </w:tblCellMar>
      </w:tblPr>
      <w:tblGrid>
        <w:gridCol w:w="1192"/>
        <w:gridCol w:w="433"/>
        <w:gridCol w:w="3301"/>
        <w:gridCol w:w="1388"/>
        <w:gridCol w:w="433"/>
        <w:gridCol w:w="1084"/>
        <w:gridCol w:w="1084"/>
        <w:gridCol w:w="650"/>
        <w:gridCol w:w="3854"/>
      </w:tblGrid>
      <w:tr>
        <w:tblPrEx>
          <w:tblCellMar>
            <w:top w:w="0" w:type="dxa"/>
            <w:left w:w="108" w:type="dxa"/>
            <w:bottom w:w="0" w:type="dxa"/>
            <w:right w:w="108" w:type="dxa"/>
          </w:tblCellMar>
        </w:tblPrEx>
        <w:trPr>
          <w:trHeight w:val="390" w:hRule="atLeast"/>
        </w:trPr>
        <w:tc>
          <w:tcPr>
            <w:tcW w:w="13306" w:type="dxa"/>
            <w:gridSpan w:val="9"/>
            <w:tcBorders>
              <w:top w:val="nil"/>
              <w:left w:val="nil"/>
              <w:bottom w:val="nil"/>
              <w:right w:val="nil"/>
            </w:tcBorders>
            <w:noWrap/>
            <w:vAlign w:val="bottom"/>
          </w:tcPr>
          <w:p>
            <w:pPr>
              <w:keepNext w:val="0"/>
              <w:keepLines w:val="0"/>
              <w:pageBreakBefore w:val="0"/>
              <w:spacing w:line="360" w:lineRule="exact"/>
              <w:jc w:val="center"/>
              <w:rPr>
                <w:rFonts w:ascii="Arial" w:hAnsi="Arial" w:cs="Arial"/>
                <w:i w:val="0"/>
                <w:iCs w:val="0"/>
                <w:color w:val="000000"/>
                <w:sz w:val="20"/>
                <w:szCs w:val="20"/>
                <w:u w:val="none"/>
              </w:rPr>
            </w:pPr>
            <w:r>
              <w:rPr>
                <w:rFonts w:hint="eastAsia" w:ascii="宋体" w:hAnsi="宋体" w:eastAsia="宋体" w:cs="宋体"/>
                <w:i w:val="0"/>
                <w:iCs w:val="0"/>
                <w:color w:val="000000"/>
                <w:sz w:val="30"/>
                <w:szCs w:val="30"/>
                <w:u w:val="none"/>
                <w:lang w:val="en-US" w:eastAsia="zh-CN" w:bidi="ar"/>
              </w:rPr>
              <w:t>四、财政拨款收入支出决算总表</w:t>
            </w:r>
          </w:p>
        </w:tc>
      </w:tr>
      <w:tr>
        <w:tblPrEx>
          <w:tblCellMar>
            <w:top w:w="0" w:type="dxa"/>
            <w:left w:w="108" w:type="dxa"/>
            <w:bottom w:w="0" w:type="dxa"/>
            <w:right w:w="108" w:type="dxa"/>
          </w:tblCellMar>
        </w:tblPrEx>
        <w:trPr>
          <w:trHeight w:val="255" w:hRule="atLeast"/>
        </w:trPr>
        <w:tc>
          <w:tcPr>
            <w:tcW w:w="1206" w:type="dxa"/>
            <w:tcBorders>
              <w:top w:val="nil"/>
              <w:left w:val="nil"/>
              <w:bottom w:val="nil"/>
              <w:right w:val="nil"/>
            </w:tcBorders>
            <w:noWrap/>
            <w:vAlign w:val="bottom"/>
          </w:tcPr>
          <w:p>
            <w:pPr>
              <w:keepNext w:val="0"/>
              <w:keepLines w:val="0"/>
              <w:pageBreakBefore w:val="0"/>
              <w:spacing w:line="360" w:lineRule="exact"/>
              <w:rPr>
                <w:rFonts w:ascii="Arial" w:hAnsi="Arial" w:cs="Arial"/>
                <w:i w:val="0"/>
                <w:iCs w:val="0"/>
                <w:color w:val="000000"/>
                <w:sz w:val="20"/>
                <w:szCs w:val="20"/>
                <w:u w:val="none"/>
              </w:rPr>
            </w:pPr>
          </w:p>
        </w:tc>
        <w:tc>
          <w:tcPr>
            <w:tcW w:w="161" w:type="dxa"/>
            <w:tcBorders>
              <w:top w:val="nil"/>
              <w:left w:val="nil"/>
              <w:bottom w:val="nil"/>
              <w:right w:val="nil"/>
            </w:tcBorders>
            <w:noWrap/>
            <w:vAlign w:val="bottom"/>
          </w:tcPr>
          <w:p>
            <w:pPr>
              <w:keepNext w:val="0"/>
              <w:keepLines w:val="0"/>
              <w:pageBreakBefore w:val="0"/>
              <w:spacing w:line="360" w:lineRule="exact"/>
              <w:rPr>
                <w:rFonts w:ascii="Arial" w:hAnsi="Arial" w:cs="Arial"/>
                <w:i w:val="0"/>
                <w:iCs w:val="0"/>
                <w:color w:val="000000"/>
                <w:sz w:val="20"/>
                <w:szCs w:val="20"/>
                <w:u w:val="none"/>
              </w:rPr>
            </w:pPr>
          </w:p>
        </w:tc>
        <w:tc>
          <w:tcPr>
            <w:tcW w:w="402" w:type="dxa"/>
            <w:tcBorders>
              <w:top w:val="nil"/>
              <w:left w:val="nil"/>
              <w:bottom w:val="nil"/>
              <w:right w:val="nil"/>
            </w:tcBorders>
            <w:noWrap/>
            <w:vAlign w:val="bottom"/>
          </w:tcPr>
          <w:p>
            <w:pPr>
              <w:keepNext w:val="0"/>
              <w:keepLines w:val="0"/>
              <w:pageBreakBefore w:val="0"/>
              <w:spacing w:line="360" w:lineRule="exact"/>
              <w:rPr>
                <w:rFonts w:ascii="Arial" w:hAnsi="Arial" w:cs="Arial"/>
                <w:i w:val="0"/>
                <w:iCs w:val="0"/>
                <w:color w:val="000000"/>
                <w:sz w:val="20"/>
                <w:szCs w:val="20"/>
                <w:u w:val="none"/>
              </w:rPr>
            </w:pPr>
          </w:p>
        </w:tc>
        <w:tc>
          <w:tcPr>
            <w:tcW w:w="1405" w:type="dxa"/>
            <w:tcBorders>
              <w:top w:val="nil"/>
              <w:left w:val="nil"/>
              <w:bottom w:val="nil"/>
              <w:right w:val="nil"/>
            </w:tcBorders>
            <w:noWrap/>
            <w:vAlign w:val="bottom"/>
          </w:tcPr>
          <w:p>
            <w:pPr>
              <w:keepNext w:val="0"/>
              <w:keepLines w:val="0"/>
              <w:pageBreakBefore w:val="0"/>
              <w:spacing w:line="360" w:lineRule="exact"/>
              <w:rPr>
                <w:rFonts w:ascii="Arial" w:hAnsi="Arial" w:cs="Arial"/>
                <w:i w:val="0"/>
                <w:iCs w:val="0"/>
                <w:color w:val="000000"/>
                <w:sz w:val="20"/>
                <w:szCs w:val="20"/>
                <w:u w:val="none"/>
              </w:rPr>
            </w:pPr>
          </w:p>
        </w:tc>
        <w:tc>
          <w:tcPr>
            <w:tcW w:w="161" w:type="dxa"/>
            <w:tcBorders>
              <w:top w:val="nil"/>
              <w:left w:val="nil"/>
              <w:bottom w:val="nil"/>
              <w:right w:val="nil"/>
            </w:tcBorders>
            <w:noWrap/>
            <w:vAlign w:val="bottom"/>
          </w:tcPr>
          <w:p>
            <w:pPr>
              <w:keepNext w:val="0"/>
              <w:keepLines w:val="0"/>
              <w:pageBreakBefore w:val="0"/>
              <w:spacing w:line="360" w:lineRule="exact"/>
              <w:rPr>
                <w:rFonts w:ascii="Arial" w:hAnsi="Arial" w:cs="Arial"/>
                <w:i w:val="0"/>
                <w:iCs w:val="0"/>
                <w:color w:val="000000"/>
                <w:sz w:val="20"/>
                <w:szCs w:val="20"/>
                <w:u w:val="none"/>
              </w:rPr>
            </w:pPr>
          </w:p>
        </w:tc>
        <w:tc>
          <w:tcPr>
            <w:tcW w:w="402" w:type="dxa"/>
            <w:tcBorders>
              <w:top w:val="nil"/>
              <w:left w:val="nil"/>
              <w:bottom w:val="nil"/>
              <w:right w:val="nil"/>
            </w:tcBorders>
            <w:noWrap/>
            <w:vAlign w:val="bottom"/>
          </w:tcPr>
          <w:p>
            <w:pPr>
              <w:keepNext w:val="0"/>
              <w:keepLines w:val="0"/>
              <w:pageBreakBefore w:val="0"/>
              <w:spacing w:line="360" w:lineRule="exact"/>
              <w:rPr>
                <w:rFonts w:ascii="Arial" w:hAnsi="Arial" w:cs="Arial"/>
                <w:i w:val="0"/>
                <w:iCs w:val="0"/>
                <w:color w:val="000000"/>
                <w:sz w:val="20"/>
                <w:szCs w:val="20"/>
                <w:u w:val="none"/>
              </w:rPr>
            </w:pPr>
          </w:p>
        </w:tc>
        <w:tc>
          <w:tcPr>
            <w:tcW w:w="402" w:type="dxa"/>
            <w:tcBorders>
              <w:top w:val="nil"/>
              <w:left w:val="nil"/>
              <w:bottom w:val="nil"/>
              <w:right w:val="nil"/>
            </w:tcBorders>
            <w:noWrap/>
            <w:vAlign w:val="bottom"/>
          </w:tcPr>
          <w:p>
            <w:pPr>
              <w:keepNext w:val="0"/>
              <w:keepLines w:val="0"/>
              <w:pageBreakBefore w:val="0"/>
              <w:spacing w:line="360" w:lineRule="exact"/>
              <w:rPr>
                <w:rFonts w:ascii="Arial" w:hAnsi="Arial" w:cs="Arial"/>
                <w:i w:val="0"/>
                <w:iCs w:val="0"/>
                <w:color w:val="000000"/>
                <w:sz w:val="20"/>
                <w:szCs w:val="20"/>
                <w:u w:val="none"/>
              </w:rPr>
            </w:pPr>
          </w:p>
        </w:tc>
        <w:tc>
          <w:tcPr>
            <w:tcW w:w="390" w:type="dxa"/>
            <w:tcBorders>
              <w:top w:val="nil"/>
              <w:left w:val="nil"/>
              <w:bottom w:val="nil"/>
              <w:right w:val="nil"/>
            </w:tcBorders>
            <w:noWrap/>
            <w:vAlign w:val="bottom"/>
          </w:tcPr>
          <w:p>
            <w:pPr>
              <w:keepNext w:val="0"/>
              <w:keepLines w:val="0"/>
              <w:pageBreakBefore w:val="0"/>
              <w:spacing w:line="360" w:lineRule="exact"/>
              <w:rPr>
                <w:rFonts w:ascii="Arial" w:hAnsi="Arial" w:cs="Arial"/>
                <w:i w:val="0"/>
                <w:iCs w:val="0"/>
                <w:color w:val="000000"/>
                <w:sz w:val="20"/>
                <w:szCs w:val="20"/>
                <w:u w:val="none"/>
              </w:rPr>
            </w:pPr>
          </w:p>
        </w:tc>
        <w:tc>
          <w:tcPr>
            <w:tcW w:w="466" w:type="dxa"/>
            <w:tcBorders>
              <w:top w:val="nil"/>
              <w:left w:val="nil"/>
              <w:bottom w:val="nil"/>
              <w:right w:val="nil"/>
            </w:tcBorders>
            <w:noWrap/>
            <w:vAlign w:val="bottom"/>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公开04表</w:t>
            </w:r>
          </w:p>
        </w:tc>
      </w:tr>
      <w:tr>
        <w:trPr>
          <w:trHeight w:val="255" w:hRule="atLeast"/>
        </w:trPr>
        <w:tc>
          <w:tcPr>
            <w:tcW w:w="1206" w:type="dxa"/>
            <w:tcBorders>
              <w:top w:val="nil"/>
              <w:left w:val="nil"/>
              <w:bottom w:val="nil"/>
              <w:right w:val="nil"/>
            </w:tcBorders>
            <w:noWrap/>
            <w:vAlign w:val="bottom"/>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部门：淮南市财政局（本级）</w:t>
            </w:r>
          </w:p>
        </w:tc>
        <w:tc>
          <w:tcPr>
            <w:tcW w:w="161" w:type="dxa"/>
            <w:tcBorders>
              <w:top w:val="nil"/>
              <w:left w:val="nil"/>
              <w:bottom w:val="nil"/>
              <w:right w:val="nil"/>
            </w:tcBorders>
            <w:noWrap/>
            <w:vAlign w:val="bottom"/>
          </w:tcPr>
          <w:p>
            <w:pPr>
              <w:keepNext w:val="0"/>
              <w:keepLines w:val="0"/>
              <w:pageBreakBefore w:val="0"/>
              <w:spacing w:line="360" w:lineRule="exact"/>
              <w:rPr>
                <w:rFonts w:ascii="Arial" w:hAnsi="Arial" w:cs="Arial"/>
                <w:i w:val="0"/>
                <w:iCs w:val="0"/>
                <w:color w:val="000000"/>
                <w:sz w:val="20"/>
                <w:szCs w:val="20"/>
                <w:u w:val="none"/>
              </w:rPr>
            </w:pPr>
          </w:p>
        </w:tc>
        <w:tc>
          <w:tcPr>
            <w:tcW w:w="402" w:type="dxa"/>
            <w:tcBorders>
              <w:top w:val="nil"/>
              <w:left w:val="nil"/>
              <w:bottom w:val="nil"/>
              <w:right w:val="nil"/>
            </w:tcBorders>
            <w:noWrap/>
            <w:vAlign w:val="bottom"/>
          </w:tcPr>
          <w:p>
            <w:pPr>
              <w:keepNext w:val="0"/>
              <w:keepLines w:val="0"/>
              <w:pageBreakBefore w:val="0"/>
              <w:spacing w:line="360" w:lineRule="exact"/>
              <w:rPr>
                <w:rFonts w:ascii="Arial" w:hAnsi="Arial" w:cs="Arial"/>
                <w:i w:val="0"/>
                <w:iCs w:val="0"/>
                <w:color w:val="000000"/>
                <w:sz w:val="20"/>
                <w:szCs w:val="20"/>
                <w:u w:val="none"/>
              </w:rPr>
            </w:pPr>
          </w:p>
        </w:tc>
        <w:tc>
          <w:tcPr>
            <w:tcW w:w="1405" w:type="dxa"/>
            <w:tcBorders>
              <w:top w:val="nil"/>
              <w:left w:val="nil"/>
              <w:bottom w:val="nil"/>
              <w:right w:val="nil"/>
            </w:tcBorders>
            <w:noWrap/>
            <w:vAlign w:val="bottom"/>
          </w:tcPr>
          <w:p>
            <w:pPr>
              <w:keepNext w:val="0"/>
              <w:keepLines w:val="0"/>
              <w:pageBreakBefore w:val="0"/>
              <w:spacing w:line="360" w:lineRule="exact"/>
              <w:rPr>
                <w:rFonts w:ascii="Arial" w:hAnsi="Arial" w:cs="Arial"/>
                <w:i w:val="0"/>
                <w:iCs w:val="0"/>
                <w:color w:val="000000"/>
                <w:sz w:val="20"/>
                <w:szCs w:val="20"/>
                <w:u w:val="none"/>
              </w:rPr>
            </w:pPr>
          </w:p>
        </w:tc>
        <w:tc>
          <w:tcPr>
            <w:tcW w:w="161" w:type="dxa"/>
            <w:tcBorders>
              <w:top w:val="nil"/>
              <w:left w:val="nil"/>
              <w:bottom w:val="nil"/>
              <w:right w:val="nil"/>
            </w:tcBorders>
            <w:noWrap/>
            <w:vAlign w:val="bottom"/>
          </w:tcPr>
          <w:p>
            <w:pPr>
              <w:keepNext w:val="0"/>
              <w:keepLines w:val="0"/>
              <w:pageBreakBefore w:val="0"/>
              <w:spacing w:line="360" w:lineRule="exact"/>
              <w:rPr>
                <w:rFonts w:ascii="Arial" w:hAnsi="Arial" w:cs="Arial"/>
                <w:i w:val="0"/>
                <w:iCs w:val="0"/>
                <w:color w:val="000000"/>
                <w:sz w:val="20"/>
                <w:szCs w:val="20"/>
                <w:u w:val="none"/>
              </w:rPr>
            </w:pPr>
          </w:p>
        </w:tc>
        <w:tc>
          <w:tcPr>
            <w:tcW w:w="402" w:type="dxa"/>
            <w:tcBorders>
              <w:top w:val="nil"/>
              <w:left w:val="nil"/>
              <w:bottom w:val="nil"/>
              <w:right w:val="nil"/>
            </w:tcBorders>
            <w:noWrap/>
            <w:vAlign w:val="bottom"/>
          </w:tcPr>
          <w:p>
            <w:pPr>
              <w:keepNext w:val="0"/>
              <w:keepLines w:val="0"/>
              <w:pageBreakBefore w:val="0"/>
              <w:spacing w:line="360" w:lineRule="exact"/>
              <w:rPr>
                <w:rFonts w:ascii="Arial" w:hAnsi="Arial" w:cs="Arial"/>
                <w:i w:val="0"/>
                <w:iCs w:val="0"/>
                <w:color w:val="000000"/>
                <w:sz w:val="20"/>
                <w:szCs w:val="20"/>
                <w:u w:val="none"/>
              </w:rPr>
            </w:pPr>
          </w:p>
        </w:tc>
        <w:tc>
          <w:tcPr>
            <w:tcW w:w="402" w:type="dxa"/>
            <w:tcBorders>
              <w:top w:val="nil"/>
              <w:left w:val="nil"/>
              <w:bottom w:val="nil"/>
              <w:right w:val="nil"/>
            </w:tcBorders>
            <w:noWrap/>
            <w:vAlign w:val="bottom"/>
          </w:tcPr>
          <w:p>
            <w:pPr>
              <w:keepNext w:val="0"/>
              <w:keepLines w:val="0"/>
              <w:pageBreakBefore w:val="0"/>
              <w:spacing w:line="360" w:lineRule="exact"/>
              <w:rPr>
                <w:rFonts w:ascii="Arial" w:hAnsi="Arial" w:cs="Arial"/>
                <w:i w:val="0"/>
                <w:iCs w:val="0"/>
                <w:color w:val="000000"/>
                <w:sz w:val="20"/>
                <w:szCs w:val="20"/>
                <w:u w:val="none"/>
              </w:rPr>
            </w:pPr>
          </w:p>
        </w:tc>
        <w:tc>
          <w:tcPr>
            <w:tcW w:w="390" w:type="dxa"/>
            <w:tcBorders>
              <w:top w:val="nil"/>
              <w:left w:val="nil"/>
              <w:bottom w:val="nil"/>
              <w:right w:val="nil"/>
            </w:tcBorders>
            <w:noWrap/>
            <w:vAlign w:val="bottom"/>
          </w:tcPr>
          <w:p>
            <w:pPr>
              <w:keepNext w:val="0"/>
              <w:keepLines w:val="0"/>
              <w:pageBreakBefore w:val="0"/>
              <w:spacing w:line="360" w:lineRule="exact"/>
              <w:rPr>
                <w:rFonts w:ascii="Arial" w:hAnsi="Arial" w:cs="Arial"/>
                <w:i w:val="0"/>
                <w:iCs w:val="0"/>
                <w:color w:val="000000"/>
                <w:sz w:val="20"/>
                <w:szCs w:val="20"/>
                <w:u w:val="none"/>
              </w:rPr>
            </w:pPr>
          </w:p>
        </w:tc>
        <w:tc>
          <w:tcPr>
            <w:tcW w:w="466" w:type="dxa"/>
            <w:tcBorders>
              <w:top w:val="nil"/>
              <w:left w:val="nil"/>
              <w:bottom w:val="nil"/>
              <w:right w:val="nil"/>
            </w:tcBorders>
            <w:noWrap/>
            <w:vAlign w:val="bottom"/>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单位：万元</w:t>
            </w:r>
          </w:p>
        </w:tc>
      </w:tr>
      <w:tr>
        <w:tblPrEx>
          <w:tblCellMar>
            <w:top w:w="0" w:type="dxa"/>
            <w:left w:w="108" w:type="dxa"/>
            <w:bottom w:w="0" w:type="dxa"/>
            <w:right w:w="108" w:type="dxa"/>
          </w:tblCellMar>
        </w:tblPrEx>
        <w:trPr>
          <w:trHeight w:val="308" w:hRule="atLeast"/>
        </w:trPr>
        <w:tc>
          <w:tcPr>
            <w:tcW w:w="4712"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收     入</w:t>
            </w:r>
          </w:p>
        </w:tc>
        <w:tc>
          <w:tcPr>
            <w:tcW w:w="8594"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支     出</w:t>
            </w:r>
          </w:p>
        </w:tc>
      </w:tr>
      <w:tr>
        <w:tblPrEx>
          <w:tblCellMar>
            <w:top w:w="0" w:type="dxa"/>
            <w:left w:w="108" w:type="dxa"/>
            <w:bottom w:w="0" w:type="dxa"/>
            <w:right w:w="108" w:type="dxa"/>
          </w:tblCellMar>
        </w:tblPrEx>
        <w:trPr>
          <w:trHeight w:val="293" w:hRule="atLeast"/>
        </w:trPr>
        <w:tc>
          <w:tcPr>
            <w:tcW w:w="1206" w:type="dxa"/>
            <w:vMerge w:val="restart"/>
            <w:tcBorders>
              <w:top w:val="nil"/>
              <w:left w:val="single" w:color="000000" w:sz="4" w:space="0"/>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项目</w:t>
            </w:r>
          </w:p>
        </w:tc>
        <w:tc>
          <w:tcPr>
            <w:tcW w:w="161"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行次</w:t>
            </w:r>
          </w:p>
        </w:tc>
        <w:tc>
          <w:tcPr>
            <w:tcW w:w="402"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金额</w:t>
            </w:r>
          </w:p>
        </w:tc>
        <w:tc>
          <w:tcPr>
            <w:tcW w:w="1405"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项目</w:t>
            </w:r>
          </w:p>
        </w:tc>
        <w:tc>
          <w:tcPr>
            <w:tcW w:w="161"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行次</w:t>
            </w:r>
          </w:p>
        </w:tc>
        <w:tc>
          <w:tcPr>
            <w:tcW w:w="402"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小计</w:t>
            </w:r>
          </w:p>
        </w:tc>
        <w:tc>
          <w:tcPr>
            <w:tcW w:w="402"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一般公共预算财政拨款</w:t>
            </w:r>
          </w:p>
        </w:tc>
        <w:tc>
          <w:tcPr>
            <w:tcW w:w="390"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政府性基金预算财政拨款</w:t>
            </w:r>
          </w:p>
        </w:tc>
        <w:tc>
          <w:tcPr>
            <w:tcW w:w="466"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国有资本经营预算财政拨款</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栏次</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02"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栏次</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02"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w:t>
            </w:r>
          </w:p>
        </w:tc>
        <w:tc>
          <w:tcPr>
            <w:tcW w:w="402"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w:t>
            </w:r>
          </w:p>
        </w:tc>
        <w:tc>
          <w:tcPr>
            <w:tcW w:w="39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w:t>
            </w:r>
          </w:p>
        </w:tc>
        <w:tc>
          <w:tcPr>
            <w:tcW w:w="46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5</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一、一般公共预算财政拨款</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2,329.44</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一、一般公共服务支出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2,039.52</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2,039.52</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二、政府性基金预算财政拨款</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二、外交支出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三、国有资本经营预算财政拨款</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三、国防支出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32</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四、公共安全支出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33</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五、教育支出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34</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6</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六、科学技术支出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35</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七、文化旅游体育与传媒支出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36</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8</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八、社会保障和就业支出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37</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205.77</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205.77</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9</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九、卫生健康支出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38</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76.40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76.40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十、节能环保支出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39</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十一、城乡社区支出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十二、农林水支出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41</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13</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十三、交通运输支出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42</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14</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十四、资源勘探工业信息等支出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43</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15</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十五、商业服务业等支出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44</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16</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十六、金融支出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45</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17</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十七、援助其他地区支出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46</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18</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十八、自然资源海洋气象等支出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47</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19</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十九、住房保障支出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48</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二十、粮油物资储备支出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49</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二十一、国有资本经营预算支出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22</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二十二、灾害防治及应急管理支出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51</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23</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二十三、其他支出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52</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本年收入合计</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24</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2,329.44</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二十四、债务还本支出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53</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年初财政拨款结转和结余</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25</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170.39</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二十五、债务付息支出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54</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一、一般公共预算财政拨款</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26</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170.39</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二十六、抗疫特别国债安排的支出</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55</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二、政府性基金预算财政拨款</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27</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本年支出合计</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56</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2,467.98</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2,467.98</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三、国有资本经营预算财政拨款</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28</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140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年末财政拨款结转和结余</w:t>
            </w:r>
          </w:p>
        </w:tc>
        <w:tc>
          <w:tcPr>
            <w:tcW w:w="1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57</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31.85</w:t>
            </w:r>
          </w:p>
        </w:tc>
        <w:tc>
          <w:tcPr>
            <w:tcW w:w="40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31.85</w:t>
            </w:r>
          </w:p>
        </w:tc>
        <w:tc>
          <w:tcPr>
            <w:tcW w:w="3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206" w:type="dxa"/>
            <w:tcBorders>
              <w:top w:val="nil"/>
              <w:left w:val="single" w:color="000000" w:sz="4" w:space="0"/>
              <w:bottom w:val="single" w:color="000000" w:sz="8"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总计</w:t>
            </w:r>
          </w:p>
        </w:tc>
        <w:tc>
          <w:tcPr>
            <w:tcW w:w="161" w:type="dxa"/>
            <w:tcBorders>
              <w:top w:val="nil"/>
              <w:left w:val="nil"/>
              <w:bottom w:val="single" w:color="000000" w:sz="8"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29</w:t>
            </w:r>
          </w:p>
        </w:tc>
        <w:tc>
          <w:tcPr>
            <w:tcW w:w="402" w:type="dxa"/>
            <w:tcBorders>
              <w:top w:val="nil"/>
              <w:left w:val="nil"/>
              <w:bottom w:val="single" w:color="000000" w:sz="8"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2,499.82</w:t>
            </w:r>
          </w:p>
        </w:tc>
        <w:tc>
          <w:tcPr>
            <w:tcW w:w="1405" w:type="dxa"/>
            <w:tcBorders>
              <w:top w:val="nil"/>
              <w:left w:val="nil"/>
              <w:bottom w:val="single" w:color="000000" w:sz="8"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总计</w:t>
            </w:r>
          </w:p>
        </w:tc>
        <w:tc>
          <w:tcPr>
            <w:tcW w:w="161" w:type="dxa"/>
            <w:tcBorders>
              <w:top w:val="nil"/>
              <w:left w:val="nil"/>
              <w:bottom w:val="single" w:color="000000" w:sz="8" w:space="0"/>
              <w:right w:val="single" w:color="000000" w:sz="4" w:space="0"/>
            </w:tcBorders>
            <w:shd w:val="clear" w:color="FFFFFF" w:fill="C0C0C0"/>
            <w:noWrap/>
            <w:vAlign w:val="center"/>
          </w:tcPr>
          <w:p>
            <w:pPr>
              <w:keepNext w:val="0"/>
              <w:keepLines w:val="0"/>
              <w:pageBreakBefore w:val="0"/>
              <w:widowControl/>
              <w:suppressLineNumbers w:val="0"/>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58</w:t>
            </w:r>
          </w:p>
        </w:tc>
        <w:tc>
          <w:tcPr>
            <w:tcW w:w="402" w:type="dxa"/>
            <w:tcBorders>
              <w:top w:val="nil"/>
              <w:left w:val="nil"/>
              <w:bottom w:val="single" w:color="000000" w:sz="8"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2,499.82</w:t>
            </w:r>
          </w:p>
        </w:tc>
        <w:tc>
          <w:tcPr>
            <w:tcW w:w="402" w:type="dxa"/>
            <w:tcBorders>
              <w:top w:val="nil"/>
              <w:left w:val="nil"/>
              <w:bottom w:val="single" w:color="000000" w:sz="8"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2,499.82</w:t>
            </w:r>
          </w:p>
        </w:tc>
        <w:tc>
          <w:tcPr>
            <w:tcW w:w="390" w:type="dxa"/>
            <w:tcBorders>
              <w:top w:val="nil"/>
              <w:left w:val="nil"/>
              <w:bottom w:val="single" w:color="000000" w:sz="8"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46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6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537" w:hRule="atLeast"/>
        </w:trPr>
        <w:tc>
          <w:tcPr>
            <w:tcW w:w="13306" w:type="dxa"/>
            <w:gridSpan w:val="9"/>
            <w:tcBorders>
              <w:top w:val="nil"/>
              <w:left w:val="nil"/>
              <w:bottom w:val="nil"/>
              <w:right w:val="nil"/>
            </w:tcBorders>
            <w:noWrap w:val="0"/>
            <w:vAlign w:val="center"/>
          </w:tcPr>
          <w:p>
            <w:pPr>
              <w:keepNext w:val="0"/>
              <w:keepLines w:val="0"/>
              <w:pageBreakBefore w:val="0"/>
              <w:spacing w:line="360" w:lineRule="exact"/>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2"/>
                <w:szCs w:val="22"/>
                <w:u w:val="none"/>
                <w:lang w:val="en-US" w:eastAsia="zh-CN" w:bidi="ar"/>
              </w:rPr>
              <w:t>注：本表反映部门本年度一般公共预算财政拨款和政府性基金预算财政拨款的总收支和年末结转结余情况；本表金额转换成万元时，因四舍五入可能存在尾差。</w:t>
            </w:r>
          </w:p>
        </w:tc>
      </w:tr>
    </w:tbl>
    <w:p>
      <w:pPr>
        <w:keepNext w:val="0"/>
        <w:keepLines w:val="0"/>
        <w:pageBreakBefore w:val="0"/>
        <w:spacing w:line="360" w:lineRule="exact"/>
        <w:rPr>
          <w:rFonts w:hint="eastAsia" w:ascii="黑体" w:hAnsi="黑体" w:eastAsia="黑体"/>
          <w:szCs w:val="32"/>
        </w:rPr>
      </w:pPr>
    </w:p>
    <w:p>
      <w:pPr>
        <w:keepNext w:val="0"/>
        <w:keepLines w:val="0"/>
        <w:pageBreakBefore w:val="0"/>
        <w:spacing w:line="360" w:lineRule="exact"/>
        <w:rPr>
          <w:rFonts w:hint="eastAsia" w:ascii="黑体" w:hAnsi="黑体" w:eastAsia="黑体"/>
          <w:szCs w:val="32"/>
        </w:rPr>
      </w:pPr>
    </w:p>
    <w:p>
      <w:pPr>
        <w:keepNext w:val="0"/>
        <w:keepLines w:val="0"/>
        <w:pageBreakBefore w:val="0"/>
        <w:spacing w:line="360" w:lineRule="exact"/>
        <w:rPr>
          <w:rFonts w:hint="eastAsia" w:ascii="黑体" w:hAnsi="黑体" w:eastAsia="黑体"/>
          <w:szCs w:val="32"/>
        </w:rPr>
      </w:pPr>
    </w:p>
    <w:p>
      <w:pPr>
        <w:keepNext w:val="0"/>
        <w:keepLines w:val="0"/>
        <w:pageBreakBefore w:val="0"/>
        <w:spacing w:line="360" w:lineRule="exact"/>
        <w:rPr>
          <w:rFonts w:hint="eastAsia" w:ascii="黑体" w:hAnsi="黑体" w:eastAsia="黑体"/>
          <w:szCs w:val="32"/>
        </w:rPr>
      </w:pPr>
    </w:p>
    <w:tbl>
      <w:tblPr>
        <w:tblStyle w:val="28"/>
        <w:tblW w:w="5000" w:type="pct"/>
        <w:tblInd w:w="-108" w:type="dxa"/>
        <w:tblLayout w:type="autofit"/>
        <w:tblCellMar>
          <w:top w:w="0" w:type="dxa"/>
          <w:left w:w="108" w:type="dxa"/>
          <w:bottom w:w="0" w:type="dxa"/>
          <w:right w:w="108" w:type="dxa"/>
        </w:tblCellMar>
      </w:tblPr>
      <w:tblGrid>
        <w:gridCol w:w="436"/>
        <w:gridCol w:w="436"/>
        <w:gridCol w:w="1240"/>
        <w:gridCol w:w="1890"/>
        <w:gridCol w:w="1103"/>
        <w:gridCol w:w="1103"/>
        <w:gridCol w:w="7103"/>
      </w:tblGrid>
      <w:tr>
        <w:tblPrEx>
          <w:tblCellMar>
            <w:top w:w="0" w:type="dxa"/>
            <w:left w:w="108" w:type="dxa"/>
            <w:bottom w:w="0" w:type="dxa"/>
            <w:right w:w="108" w:type="dxa"/>
          </w:tblCellMar>
        </w:tblPrEx>
        <w:trPr>
          <w:trHeight w:val="3414" w:hRule="atLeast"/>
        </w:trPr>
        <w:tc>
          <w:tcPr>
            <w:tcW w:w="13311" w:type="dxa"/>
            <w:gridSpan w:val="7"/>
            <w:tcBorders>
              <w:top w:val="nil"/>
              <w:left w:val="nil"/>
              <w:bottom w:val="nil"/>
              <w:right w:val="nil"/>
            </w:tcBorders>
            <w:noWrap/>
            <w:vAlign w:val="bottom"/>
          </w:tcPr>
          <w:p>
            <w:pPr>
              <w:keepNext w:val="0"/>
              <w:keepLines w:val="0"/>
              <w:pageBreakBefore w:val="0"/>
              <w:spacing w:line="340" w:lineRule="exact"/>
              <w:jc w:val="center"/>
              <w:rPr>
                <w:rFonts w:hint="eastAsia" w:ascii="Arial" w:hAnsi="Arial" w:cs="Arial"/>
                <w:i w:val="0"/>
                <w:iCs w:val="0"/>
                <w:color w:val="000000"/>
                <w:sz w:val="20"/>
                <w:szCs w:val="20"/>
                <w:u w:val="none"/>
              </w:rPr>
            </w:pPr>
            <w:r>
              <w:rPr>
                <w:rFonts w:hint="eastAsia" w:ascii="宋体" w:hAnsi="宋体" w:eastAsia="宋体" w:cs="宋体"/>
                <w:i w:val="0"/>
                <w:iCs w:val="0"/>
                <w:color w:val="000000"/>
                <w:sz w:val="30"/>
                <w:szCs w:val="30"/>
                <w:u w:val="none"/>
                <w:lang w:val="en-US" w:eastAsia="zh-CN" w:bidi="ar"/>
              </w:rPr>
              <w:t>五、一般公共预算财政拨款支出决算表</w:t>
            </w:r>
          </w:p>
          <w:p>
            <w:pPr>
              <w:keepNext w:val="0"/>
              <w:keepLines w:val="0"/>
              <w:pageBreakBefore w:val="0"/>
              <w:widowControl/>
              <w:suppressLineNumbers w:val="0"/>
              <w:spacing w:line="34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公开05表</w:t>
            </w:r>
          </w:p>
          <w:p>
            <w:pPr>
              <w:keepNext w:val="0"/>
              <w:keepLines w:val="0"/>
              <w:pageBreakBefore w:val="0"/>
              <w:widowControl/>
              <w:suppressLineNumbers w:val="0"/>
              <w:spacing w:line="340" w:lineRule="exact"/>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部门：淮南市财政局（本级）                                                                                                   单位：万元</w:t>
            </w:r>
          </w:p>
        </w:tc>
      </w:tr>
      <w:tr>
        <w:tblPrEx>
          <w:tblCellMar>
            <w:top w:w="0" w:type="dxa"/>
            <w:left w:w="108" w:type="dxa"/>
            <w:bottom w:w="0" w:type="dxa"/>
            <w:right w:w="108" w:type="dxa"/>
          </w:tblCellMar>
        </w:tblPrEx>
        <w:trPr>
          <w:trHeight w:val="308" w:hRule="atLeast"/>
        </w:trPr>
        <w:tc>
          <w:tcPr>
            <w:tcW w:w="1684"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科目编码</w:t>
            </w:r>
          </w:p>
        </w:tc>
        <w:tc>
          <w:tcPr>
            <w:tcW w:w="1890"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科目名称</w:t>
            </w:r>
          </w:p>
        </w:tc>
        <w:tc>
          <w:tcPr>
            <w:tcW w:w="6595" w:type="dxa"/>
            <w:gridSpan w:val="3"/>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本年支出</w:t>
            </w:r>
          </w:p>
        </w:tc>
      </w:tr>
      <w:tr>
        <w:trPr>
          <w:trHeight w:val="308" w:hRule="atLeast"/>
        </w:trPr>
        <w:tc>
          <w:tcPr>
            <w:tcW w:w="1684"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pPr>
              <w:keepNext w:val="0"/>
              <w:keepLines w:val="0"/>
              <w:pageBreakBefore w:val="0"/>
              <w:spacing w:line="340" w:lineRule="exact"/>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spacing w:line="340" w:lineRule="exact"/>
              <w:jc w:val="center"/>
              <w:rPr>
                <w:rFonts w:hint="eastAsia" w:ascii="宋体" w:hAnsi="宋体" w:eastAsia="宋体" w:cs="宋体"/>
                <w:i w:val="0"/>
                <w:iCs w:val="0"/>
                <w:color w:val="000000"/>
                <w:sz w:val="22"/>
                <w:szCs w:val="22"/>
                <w:u w:val="none"/>
              </w:rPr>
            </w:pPr>
          </w:p>
        </w:tc>
        <w:tc>
          <w:tcPr>
            <w:tcW w:w="824"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合计</w:t>
            </w:r>
          </w:p>
        </w:tc>
        <w:tc>
          <w:tcPr>
            <w:tcW w:w="824"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基本支出</w:t>
            </w:r>
          </w:p>
        </w:tc>
        <w:tc>
          <w:tcPr>
            <w:tcW w:w="825"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项目支出</w:t>
            </w:r>
          </w:p>
        </w:tc>
      </w:tr>
      <w:tr>
        <w:tblPrEx>
          <w:tblCellMar>
            <w:top w:w="0" w:type="dxa"/>
            <w:left w:w="108" w:type="dxa"/>
            <w:bottom w:w="0" w:type="dxa"/>
            <w:right w:w="108" w:type="dxa"/>
          </w:tblCellMar>
        </w:tblPrEx>
        <w:trPr>
          <w:trHeight w:val="308" w:hRule="atLeast"/>
        </w:trPr>
        <w:tc>
          <w:tcPr>
            <w:tcW w:w="211" w:type="dxa"/>
            <w:vMerge w:val="restart"/>
            <w:tcBorders>
              <w:top w:val="nil"/>
              <w:left w:val="single" w:color="000000" w:sz="4" w:space="0"/>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类</w:t>
            </w:r>
          </w:p>
        </w:tc>
        <w:tc>
          <w:tcPr>
            <w:tcW w:w="211"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款</w:t>
            </w:r>
          </w:p>
        </w:tc>
        <w:tc>
          <w:tcPr>
            <w:tcW w:w="211"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项</w:t>
            </w:r>
          </w:p>
        </w:tc>
        <w:tc>
          <w:tcPr>
            <w:tcW w:w="1890" w:type="dxa"/>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栏次</w:t>
            </w:r>
          </w:p>
        </w:tc>
        <w:tc>
          <w:tcPr>
            <w:tcW w:w="824"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w:t>
            </w:r>
          </w:p>
        </w:tc>
        <w:tc>
          <w:tcPr>
            <w:tcW w:w="824"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w:t>
            </w:r>
          </w:p>
        </w:tc>
        <w:tc>
          <w:tcPr>
            <w:tcW w:w="82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w:t>
            </w:r>
          </w:p>
        </w:tc>
      </w:tr>
      <w:tr>
        <w:tblPrEx>
          <w:tblCellMar>
            <w:top w:w="0" w:type="dxa"/>
            <w:left w:w="108" w:type="dxa"/>
            <w:bottom w:w="0" w:type="dxa"/>
            <w:right w:w="108" w:type="dxa"/>
          </w:tblCellMar>
        </w:tblPrEx>
        <w:trPr>
          <w:trHeight w:val="308" w:hRule="atLeast"/>
        </w:trPr>
        <w:tc>
          <w:tcPr>
            <w:tcW w:w="211" w:type="dxa"/>
            <w:vMerge w:val="continue"/>
            <w:tcBorders>
              <w:top w:val="nil"/>
              <w:left w:val="single" w:color="000000" w:sz="4" w:space="0"/>
              <w:bottom w:val="single" w:color="000000" w:sz="4" w:space="0"/>
              <w:right w:val="single" w:color="000000" w:sz="4" w:space="0"/>
            </w:tcBorders>
            <w:shd w:val="clear" w:color="FFFFFF" w:fill="C0C0C0"/>
            <w:noWrap w:val="0"/>
            <w:vAlign w:val="center"/>
          </w:tcPr>
          <w:p>
            <w:pPr>
              <w:keepNext w:val="0"/>
              <w:keepLines w:val="0"/>
              <w:pageBreakBefore w:val="0"/>
              <w:spacing w:line="340" w:lineRule="exact"/>
              <w:jc w:val="center"/>
              <w:rPr>
                <w:rFonts w:hint="eastAsia" w:ascii="宋体" w:hAnsi="宋体" w:eastAsia="宋体" w:cs="宋体"/>
                <w:i w:val="0"/>
                <w:iCs w:val="0"/>
                <w:color w:val="000000"/>
                <w:sz w:val="22"/>
                <w:szCs w:val="22"/>
                <w:u w:val="none"/>
              </w:rPr>
            </w:pPr>
          </w:p>
        </w:tc>
        <w:tc>
          <w:tcPr>
            <w:tcW w:w="211" w:type="dxa"/>
            <w:vMerge w:val="continue"/>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spacing w:line="340" w:lineRule="exact"/>
              <w:jc w:val="center"/>
              <w:rPr>
                <w:rFonts w:hint="eastAsia" w:ascii="宋体" w:hAnsi="宋体" w:eastAsia="宋体" w:cs="宋体"/>
                <w:i w:val="0"/>
                <w:iCs w:val="0"/>
                <w:color w:val="000000"/>
                <w:sz w:val="22"/>
                <w:szCs w:val="22"/>
                <w:u w:val="none"/>
              </w:rPr>
            </w:pPr>
          </w:p>
        </w:tc>
        <w:tc>
          <w:tcPr>
            <w:tcW w:w="211" w:type="dxa"/>
            <w:vMerge w:val="continue"/>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spacing w:line="340" w:lineRule="exact"/>
              <w:jc w:val="center"/>
              <w:rPr>
                <w:rFonts w:hint="eastAsia" w:ascii="宋体" w:hAnsi="宋体" w:eastAsia="宋体" w:cs="宋体"/>
                <w:i w:val="0"/>
                <w:iCs w:val="0"/>
                <w:color w:val="000000"/>
                <w:sz w:val="22"/>
                <w:szCs w:val="22"/>
                <w:u w:val="none"/>
              </w:rPr>
            </w:pPr>
          </w:p>
        </w:tc>
        <w:tc>
          <w:tcPr>
            <w:tcW w:w="1890" w:type="dxa"/>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34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合计</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2,467.98</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1,643.46</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824.52</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一般公共服务支出</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2,039.52</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1,235.00</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804.52</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财政事务</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2,034.12</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1,235.00</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799.12</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2010601</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行政运行</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1,196.98</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1,196.98</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2010602</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一般行政管理事务</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428.51</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428.51</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2010605</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财政国库业务</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13.92</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13.92</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2010607</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信息化建设</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154.19</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154.19</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2010608</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财政委托业务支出</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13.14</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13.14</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2010650</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事业运行</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24.10</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24.10</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2010699</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其他财政事务支出</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203.29</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203.29</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20132</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组织事务</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5.40</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5.40</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2013299</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其他组织事务支出</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5.40</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5.40</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208</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社会保障和就业支出</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205.77</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205.77</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20805</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行政事业单位养老支出</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205.77</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205.77</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2080501</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行政单位离退休</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83.16</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83.16</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2080505</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机关事业单位基本养老保险缴费支出</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110.67</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110.67</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2080506</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机关事业单位职业年金缴费支出</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11.95</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11.95</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210</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卫生健康支出</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76.40</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76.40</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21011</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行政事业单位医疗</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76.40</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76.40</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2101101</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行政单位医疗</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53.17</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53.17</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2101103</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公务员医疗补助</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23.24</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23.24</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212</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城乡社区支出</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21202</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城乡社区规划与管理</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2120201</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城乡社区规划与管理</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20.00</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221</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住房保障支出</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22102</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住房改革支出</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684"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2210201</w:t>
            </w:r>
          </w:p>
        </w:tc>
        <w:tc>
          <w:tcPr>
            <w:tcW w:w="18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住房公积金</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c>
          <w:tcPr>
            <w:tcW w:w="824"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126.28</w:t>
            </w:r>
          </w:p>
        </w:tc>
        <w:tc>
          <w:tcPr>
            <w:tcW w:w="82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34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311" w:type="dxa"/>
            <w:gridSpan w:val="7"/>
            <w:tcBorders>
              <w:top w:val="nil"/>
              <w:left w:val="nil"/>
              <w:bottom w:val="nil"/>
              <w:right w:val="nil"/>
            </w:tcBorders>
            <w:noWrap/>
            <w:vAlign w:val="center"/>
          </w:tcPr>
          <w:p>
            <w:pPr>
              <w:keepNext w:val="0"/>
              <w:keepLines w:val="0"/>
              <w:pageBreakBefore w:val="0"/>
              <w:widowControl/>
              <w:suppressLineNumbers w:val="0"/>
              <w:spacing w:line="34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注：本表反映部门本年度一般公共预算财政拨款支出情况；本表金额转换成万元时，因四舍五入可能存在尾差。</w:t>
            </w:r>
          </w:p>
        </w:tc>
      </w:tr>
    </w:tbl>
    <w:p>
      <w:pPr>
        <w:keepNext w:val="0"/>
        <w:keepLines w:val="0"/>
        <w:pageBreakBefore w:val="0"/>
        <w:spacing w:line="340" w:lineRule="exact"/>
        <w:rPr>
          <w:rFonts w:hint="eastAsia" w:ascii="黑体" w:hAnsi="黑体" w:eastAsia="黑体"/>
          <w:szCs w:val="32"/>
        </w:rPr>
      </w:pPr>
    </w:p>
    <w:p>
      <w:pPr>
        <w:keepNext w:val="0"/>
        <w:keepLines w:val="0"/>
        <w:pageBreakBefore w:val="0"/>
        <w:spacing w:line="340" w:lineRule="exact"/>
        <w:rPr>
          <w:rFonts w:hint="eastAsia" w:ascii="黑体" w:hAnsi="黑体" w:eastAsia="黑体"/>
          <w:szCs w:val="32"/>
        </w:rPr>
      </w:pPr>
    </w:p>
    <w:p>
      <w:pPr>
        <w:keepNext w:val="0"/>
        <w:keepLines w:val="0"/>
        <w:pageBreakBefore w:val="0"/>
        <w:spacing w:line="300" w:lineRule="exact"/>
        <w:rPr>
          <w:rFonts w:hint="eastAsia" w:ascii="黑体" w:hAnsi="黑体" w:eastAsia="黑体"/>
          <w:szCs w:val="32"/>
        </w:rPr>
      </w:pPr>
    </w:p>
    <w:tbl>
      <w:tblPr>
        <w:tblStyle w:val="28"/>
        <w:tblW w:w="5000" w:type="pct"/>
        <w:tblInd w:w="-108" w:type="dxa"/>
        <w:tblLayout w:type="fixed"/>
        <w:tblCellMar>
          <w:top w:w="0" w:type="dxa"/>
          <w:left w:w="108" w:type="dxa"/>
          <w:bottom w:w="0" w:type="dxa"/>
          <w:right w:w="108" w:type="dxa"/>
        </w:tblCellMar>
      </w:tblPr>
      <w:tblGrid>
        <w:gridCol w:w="1517"/>
        <w:gridCol w:w="2518"/>
        <w:gridCol w:w="1271"/>
        <w:gridCol w:w="1175"/>
        <w:gridCol w:w="2133"/>
        <w:gridCol w:w="1179"/>
        <w:gridCol w:w="1110"/>
        <w:gridCol w:w="2827"/>
        <w:gridCol w:w="1660"/>
      </w:tblGrid>
      <w:tr>
        <w:tblPrEx>
          <w:tblCellMar>
            <w:top w:w="0" w:type="dxa"/>
            <w:left w:w="108" w:type="dxa"/>
            <w:bottom w:w="0" w:type="dxa"/>
            <w:right w:w="108" w:type="dxa"/>
          </w:tblCellMar>
        </w:tblPrEx>
        <w:trPr>
          <w:trHeight w:val="2845" w:hRule="atLeast"/>
        </w:trPr>
        <w:tc>
          <w:tcPr>
            <w:tcW w:w="13311" w:type="dxa"/>
            <w:gridSpan w:val="9"/>
            <w:tcBorders>
              <w:top w:val="nil"/>
              <w:left w:val="nil"/>
              <w:bottom w:val="nil"/>
              <w:right w:val="nil"/>
            </w:tcBorders>
            <w:noWrap/>
            <w:vAlign w:val="bottom"/>
          </w:tcPr>
          <w:p>
            <w:pPr>
              <w:keepNext w:val="0"/>
              <w:keepLines w:val="0"/>
              <w:pageBreakBefore w:val="0"/>
              <w:widowControl/>
              <w:spacing w:line="320" w:lineRule="exact"/>
              <w:jc w:val="center"/>
              <w:rPr>
                <w:rFonts w:hint="eastAsia" w:ascii="Arial" w:hAnsi="Arial" w:cs="Arial"/>
                <w:i w:val="0"/>
                <w:iCs w:val="0"/>
                <w:color w:val="000000"/>
                <w:sz w:val="20"/>
                <w:szCs w:val="20"/>
                <w:u w:val="none"/>
              </w:rPr>
            </w:pPr>
            <w:r>
              <w:rPr>
                <w:rFonts w:hint="eastAsia" w:ascii="宋体" w:hAnsi="宋体" w:eastAsia="宋体" w:cs="宋体"/>
                <w:i w:val="0"/>
                <w:iCs w:val="0"/>
                <w:color w:val="000000"/>
                <w:sz w:val="30"/>
                <w:szCs w:val="30"/>
                <w:u w:val="none"/>
                <w:lang w:val="en-US" w:eastAsia="zh-CN" w:bidi="ar"/>
              </w:rPr>
              <w:t>六、一般公共预算财政拨款基本支出决算表</w:t>
            </w:r>
          </w:p>
          <w:p>
            <w:pPr>
              <w:keepNext w:val="0"/>
              <w:keepLines w:val="0"/>
              <w:pageBreakBefore w:val="0"/>
              <w:widowControl/>
              <w:spacing w:line="320" w:lineRule="exact"/>
              <w:jc w:val="left"/>
              <w:rPr>
                <w:rFonts w:hint="eastAsia" w:ascii="宋体" w:hAnsi="宋体" w:eastAsia="宋体" w:cs="宋体"/>
                <w:i w:val="0"/>
                <w:iCs w:val="0"/>
                <w:color w:val="000000"/>
                <w:sz w:val="20"/>
                <w:szCs w:val="20"/>
                <w:u w:val="none"/>
                <w:lang w:val="en-US" w:eastAsia="zh-CN" w:bidi="ar"/>
              </w:rPr>
            </w:pPr>
          </w:p>
          <w:p>
            <w:pPr>
              <w:keepNext w:val="0"/>
              <w:keepLines w:val="0"/>
              <w:pageBreakBefore w:val="0"/>
              <w:widowControl/>
              <w:spacing w:line="320" w:lineRule="exact"/>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部门：淮南市财政局（本级）                                                                                                    公开06表</w:t>
            </w:r>
          </w:p>
          <w:p>
            <w:pPr>
              <w:keepNext w:val="0"/>
              <w:keepLines w:val="0"/>
              <w:pageBreakBefore w:val="0"/>
              <w:widowControl/>
              <w:suppressLineNumbers w:val="0"/>
              <w:spacing w:line="32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xml:space="preserve">                                                                                                                            单位：万元</w:t>
            </w:r>
          </w:p>
        </w:tc>
      </w:tr>
      <w:tr>
        <w:tblPrEx>
          <w:tblCellMar>
            <w:top w:w="0" w:type="dxa"/>
            <w:left w:w="108" w:type="dxa"/>
            <w:bottom w:w="0" w:type="dxa"/>
            <w:right w:w="108" w:type="dxa"/>
          </w:tblCellMar>
        </w:tblPrEx>
        <w:trPr>
          <w:trHeight w:val="308" w:hRule="atLeast"/>
        </w:trPr>
        <w:tc>
          <w:tcPr>
            <w:tcW w:w="4589" w:type="dxa"/>
            <w:gridSpan w:val="3"/>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2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人员经费</w:t>
            </w:r>
          </w:p>
        </w:tc>
        <w:tc>
          <w:tcPr>
            <w:tcW w:w="8722" w:type="dxa"/>
            <w:gridSpan w:val="6"/>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2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公用经费</w:t>
            </w:r>
          </w:p>
        </w:tc>
      </w:tr>
      <w:tr>
        <w:tblPrEx>
          <w:tblCellMar>
            <w:top w:w="0" w:type="dxa"/>
            <w:left w:w="108" w:type="dxa"/>
            <w:bottom w:w="0" w:type="dxa"/>
            <w:right w:w="108" w:type="dxa"/>
          </w:tblCellMar>
        </w:tblPrEx>
        <w:trPr>
          <w:trHeight w:val="323" w:hRule="atLeast"/>
        </w:trPr>
        <w:tc>
          <w:tcPr>
            <w:tcW w:w="492" w:type="dxa"/>
            <w:vMerge w:val="restart"/>
            <w:tcBorders>
              <w:top w:val="nil"/>
              <w:left w:val="single" w:color="000000" w:sz="4" w:space="0"/>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2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科目编码</w:t>
            </w:r>
          </w:p>
        </w:tc>
        <w:tc>
          <w:tcPr>
            <w:tcW w:w="818"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2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科目名称</w:t>
            </w:r>
          </w:p>
        </w:tc>
        <w:tc>
          <w:tcPr>
            <w:tcW w:w="412"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2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金额</w:t>
            </w:r>
          </w:p>
        </w:tc>
        <w:tc>
          <w:tcPr>
            <w:tcW w:w="381"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2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科目编码</w:t>
            </w:r>
          </w:p>
        </w:tc>
        <w:tc>
          <w:tcPr>
            <w:tcW w:w="693"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2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科目名称</w:t>
            </w:r>
          </w:p>
        </w:tc>
        <w:tc>
          <w:tcPr>
            <w:tcW w:w="383"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2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金额</w:t>
            </w:r>
          </w:p>
        </w:tc>
        <w:tc>
          <w:tcPr>
            <w:tcW w:w="360"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2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科目编码</w:t>
            </w:r>
          </w:p>
        </w:tc>
        <w:tc>
          <w:tcPr>
            <w:tcW w:w="918"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2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科目名称</w:t>
            </w:r>
          </w:p>
        </w:tc>
        <w:tc>
          <w:tcPr>
            <w:tcW w:w="539"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2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金额</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301</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工资福利支出</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1,419.98</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商品和服务支出</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115.87</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307</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债务利息及费用支出</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30101</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基本工资</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413.25</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30201</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办公费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6.09</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30701</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国内债务付息</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30102</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津贴补贴</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242.84</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30202</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印刷费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0.52</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30702</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国外债务付息</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30103</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奖金</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402.32</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30203</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咨询费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30703</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国内债务发行费用</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30106</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伙食补助费</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30204</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手续费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0.08</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30704</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国外债务发行费用</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30107</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绩效工资</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8.14</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30205</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水费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310</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资本性支出</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30108</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机关事业单位基本养老保险缴费</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110.67</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30206</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电费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31001</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房屋建筑物购建</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30109</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职业年金缴费</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11.95</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30207</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邮电费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7.78</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31002</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办公设备购置</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30110</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职工基本医疗保险缴费</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45.17</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30208</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取暖费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31003</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专用设备购置</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30111</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公务员医疗补助缴费</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25.43</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30209</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物业管理费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31005</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基础设施建设</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30112</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其他社会保障缴费</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0.31</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30211</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差旅费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9.15</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31006</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大型修缮</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30113</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住房公积金</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134.05</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30212</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因公出国（境）费用</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31007</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信息网络及软件购置更新</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30114</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医疗费</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30213</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维修(护)费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0.06</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31008</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物资储备</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30199</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其他工资福利支出</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25.87</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30214</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租赁费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31009</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土地补偿</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303</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对个人和家庭的补助</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107.61</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30215</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会议费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0.53</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31010</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安置补助</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30301</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离休费</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11.12</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30216</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培训费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1.24</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31011</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地上附着物和青苗补偿</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30302</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退休费</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4.80</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30217</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公务接待费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3.57</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31012</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拆迁补偿</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30303</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退职（役）费</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30218</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专用材料费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31013</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公务用车购置</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30304</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抚恤金</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30224</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被装购置费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31019</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其他交通工具购置</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30305</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生活补助</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69.76</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30225</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专用燃料费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31021</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文物和陈列品购置</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30306</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救济费</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30226</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劳务费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7.02</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31022</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无形资产购置</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3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30307</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医疗费补助</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8.00</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30227</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委托业务费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31099</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其他资本性支出</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30308</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助学金</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30228</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工会经费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6.99</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312</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对企业补助</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30309</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奖励金</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0.39</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30229</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福利费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31201</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资本金注入</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30310</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个人农业生产补贴</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30231</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公务用车运行维护费</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31203</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政府投资基金股权投资</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30311</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代缴社会保险费</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30239</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其他交通费用</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69.22</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31204</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费用补贴</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30399</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其他对个人和家庭的补助</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13.53</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30240</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税金及附加费用</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31205</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利息补贴</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27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30299</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其他商品和服务支出</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3.62</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31299 </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其他对企业补助</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399</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其他支出</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39906</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赠与</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　</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39907</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国家赔偿费用支出</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39908</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对民间非营利组织和群众性自治组织补贴</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49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38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69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3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36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39999</w:t>
            </w:r>
          </w:p>
        </w:tc>
        <w:tc>
          <w:tcPr>
            <w:tcW w:w="9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其他支出</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349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人员经费合计</w:t>
            </w:r>
          </w:p>
        </w:tc>
        <w:tc>
          <w:tcPr>
            <w:tcW w:w="41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1,527.59</w:t>
            </w:r>
          </w:p>
        </w:tc>
        <w:tc>
          <w:tcPr>
            <w:tcW w:w="7286" w:type="dxa"/>
            <w:gridSpan w:val="5"/>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2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公用经费合计</w:t>
            </w:r>
          </w:p>
        </w:tc>
        <w:tc>
          <w:tcPr>
            <w:tcW w:w="53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20" w:lineRule="exact"/>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115.87</w:t>
            </w:r>
          </w:p>
        </w:tc>
      </w:tr>
      <w:tr>
        <w:tblPrEx>
          <w:tblCellMar>
            <w:top w:w="0" w:type="dxa"/>
            <w:left w:w="108" w:type="dxa"/>
            <w:bottom w:w="0" w:type="dxa"/>
            <w:right w:w="108" w:type="dxa"/>
          </w:tblCellMar>
        </w:tblPrEx>
        <w:trPr>
          <w:trHeight w:val="308" w:hRule="atLeast"/>
        </w:trPr>
        <w:tc>
          <w:tcPr>
            <w:tcW w:w="13311" w:type="dxa"/>
            <w:gridSpan w:val="9"/>
            <w:tcBorders>
              <w:top w:val="nil"/>
              <w:left w:val="nil"/>
              <w:bottom w:val="nil"/>
              <w:right w:val="nil"/>
            </w:tcBorders>
            <w:noWrap w:val="0"/>
            <w:vAlign w:val="center"/>
          </w:tcPr>
          <w:p>
            <w:pPr>
              <w:keepNext w:val="0"/>
              <w:keepLines w:val="0"/>
              <w:pageBreakBefore w:val="0"/>
              <w:widowControl/>
              <w:suppressLineNumbers w:val="0"/>
              <w:spacing w:line="220" w:lineRule="exact"/>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注：本表反映部门本年度一般公共预算财政拨款基本支出明细情况；本表金额转换成万元时，因四舍五入可能存在尾差。 </w:t>
            </w:r>
          </w:p>
        </w:tc>
      </w:tr>
    </w:tbl>
    <w:p>
      <w:pPr>
        <w:keepNext w:val="0"/>
        <w:keepLines w:val="0"/>
        <w:pageBreakBefore w:val="0"/>
        <w:spacing w:line="220" w:lineRule="exact"/>
        <w:rPr>
          <w:rFonts w:hint="eastAsia" w:ascii="黑体" w:hAnsi="黑体" w:eastAsia="黑体"/>
          <w:szCs w:val="32"/>
        </w:rPr>
        <w:sectPr>
          <w:pgSz w:w="16838" w:h="11906"/>
          <w:pgMar w:top="1588" w:right="2155" w:bottom="1531" w:left="1588" w:header="0" w:footer="1588" w:gutter="0"/>
          <w:cols w:space="1701" w:num="1"/>
        </w:sectPr>
      </w:pPr>
    </w:p>
    <w:tbl>
      <w:tblPr>
        <w:tblStyle w:val="28"/>
        <w:tblW w:w="5000" w:type="pct"/>
        <w:tblInd w:w="-108" w:type="dxa"/>
        <w:tblLayout w:type="fixed"/>
        <w:tblCellMar>
          <w:top w:w="0" w:type="dxa"/>
          <w:left w:w="108" w:type="dxa"/>
          <w:bottom w:w="0" w:type="dxa"/>
          <w:right w:w="108" w:type="dxa"/>
        </w:tblCellMar>
      </w:tblPr>
      <w:tblGrid>
        <w:gridCol w:w="480"/>
        <w:gridCol w:w="480"/>
        <w:gridCol w:w="500"/>
        <w:gridCol w:w="1275"/>
        <w:gridCol w:w="643"/>
        <w:gridCol w:w="813"/>
        <w:gridCol w:w="950"/>
        <w:gridCol w:w="724"/>
        <w:gridCol w:w="1155"/>
        <w:gridCol w:w="2035"/>
        <w:gridCol w:w="1190"/>
        <w:gridCol w:w="765"/>
        <w:gridCol w:w="780"/>
        <w:gridCol w:w="566"/>
        <w:gridCol w:w="829"/>
        <w:gridCol w:w="645"/>
        <w:gridCol w:w="1064"/>
      </w:tblGrid>
      <w:tr>
        <w:tblPrEx>
          <w:tblCellMar>
            <w:top w:w="0" w:type="dxa"/>
            <w:left w:w="108" w:type="dxa"/>
            <w:bottom w:w="0" w:type="dxa"/>
            <w:right w:w="108" w:type="dxa"/>
          </w:tblCellMar>
        </w:tblPrEx>
        <w:trPr>
          <w:trHeight w:val="255" w:hRule="atLeast"/>
        </w:trPr>
        <w:tc>
          <w:tcPr>
            <w:tcW w:w="14894" w:type="dxa"/>
            <w:gridSpan w:val="17"/>
            <w:tcBorders>
              <w:top w:val="nil"/>
              <w:left w:val="nil"/>
              <w:bottom w:val="nil"/>
              <w:right w:val="nil"/>
            </w:tcBorders>
            <w:noWrap/>
            <w:vAlign w:val="bottom"/>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0"/>
                <w:szCs w:val="20"/>
                <w:u w:val="none"/>
                <w:lang w:val="en-US" w:eastAsia="zh-CN" w:bidi="ar"/>
              </w:rPr>
            </w:pPr>
          </w:p>
          <w:p>
            <w:pPr>
              <w:keepNext w:val="0"/>
              <w:keepLines w:val="0"/>
              <w:pageBreakBefore w:val="0"/>
              <w:spacing w:line="420" w:lineRule="exact"/>
              <w:jc w:val="center"/>
              <w:rPr>
                <w:rFonts w:hint="eastAsia" w:ascii="黑体" w:hAnsi="黑体" w:eastAsia="黑体"/>
                <w:szCs w:val="32"/>
              </w:rPr>
            </w:pPr>
            <w:r>
              <w:rPr>
                <w:rFonts w:hint="eastAsia" w:ascii="黑体" w:hAnsi="黑体" w:eastAsia="黑体"/>
                <w:szCs w:val="32"/>
                <w:lang w:val="en-US" w:eastAsia="zh-CN"/>
              </w:rPr>
              <w:t>七、</w:t>
            </w:r>
            <w:r>
              <w:rPr>
                <w:rFonts w:hint="eastAsia" w:ascii="黑体" w:hAnsi="黑体" w:eastAsia="黑体"/>
                <w:szCs w:val="32"/>
              </w:rPr>
              <w:t>政府性基金预算财政拨款收入支出决算表</w:t>
            </w:r>
          </w:p>
          <w:p>
            <w:pPr>
              <w:keepNext w:val="0"/>
              <w:keepLines w:val="0"/>
              <w:pageBreakBefore w:val="0"/>
              <w:widowControl/>
              <w:suppressLineNumbers w:val="0"/>
              <w:spacing w:line="288" w:lineRule="auto"/>
              <w:jc w:val="right"/>
              <w:rPr>
                <w:rFonts w:hint="eastAsia" w:ascii="宋体" w:hAnsi="宋体" w:eastAsia="宋体" w:cs="宋体"/>
                <w:i w:val="0"/>
                <w:iCs w:val="0"/>
                <w:color w:val="000000"/>
                <w:sz w:val="20"/>
                <w:szCs w:val="20"/>
                <w:u w:val="none"/>
                <w:lang w:val="en-US" w:eastAsia="zh-CN" w:bidi="ar"/>
              </w:rPr>
            </w:pPr>
          </w:p>
          <w:p>
            <w:pPr>
              <w:keepNext w:val="0"/>
              <w:keepLines w:val="0"/>
              <w:pageBreakBefore w:val="0"/>
              <w:widowControl/>
              <w:suppressLineNumbers w:val="0"/>
              <w:spacing w:line="288" w:lineRule="auto"/>
              <w:jc w:val="right"/>
              <w:rPr>
                <w:rFonts w:hint="eastAsia" w:ascii="宋体" w:hAnsi="宋体" w:eastAsia="宋体" w:cs="宋体"/>
                <w:i w:val="0"/>
                <w:iCs w:val="0"/>
                <w:color w:val="000000"/>
                <w:sz w:val="20"/>
                <w:szCs w:val="20"/>
                <w:u w:val="none"/>
                <w:lang w:val="en-US" w:eastAsia="zh-CN" w:bidi="ar"/>
              </w:rPr>
            </w:pPr>
          </w:p>
          <w:p>
            <w:pPr>
              <w:keepNext w:val="0"/>
              <w:keepLines w:val="0"/>
              <w:pageBreakBefore w:val="0"/>
              <w:widowControl/>
              <w:suppressLineNumbers w:val="0"/>
              <w:spacing w:line="288" w:lineRule="auto"/>
              <w:jc w:val="right"/>
              <w:rPr>
                <w:rFonts w:hint="eastAsia" w:ascii="宋体" w:hAnsi="宋体" w:eastAsia="宋体" w:cs="宋体"/>
                <w:i w:val="0"/>
                <w:iCs w:val="0"/>
                <w:color w:val="000000"/>
                <w:sz w:val="20"/>
                <w:szCs w:val="20"/>
                <w:u w:val="none"/>
                <w:lang w:val="en-US" w:eastAsia="zh-CN" w:bidi="ar"/>
              </w:rPr>
            </w:pPr>
          </w:p>
          <w:p>
            <w:pPr>
              <w:keepNext w:val="0"/>
              <w:keepLines w:val="0"/>
              <w:pageBreakBefore w:val="0"/>
              <w:widowControl/>
              <w:suppressLineNumbers w:val="0"/>
              <w:spacing w:line="288" w:lineRule="auto"/>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公开07表</w:t>
            </w:r>
          </w:p>
        </w:tc>
      </w:tr>
      <w:tr>
        <w:tblPrEx>
          <w:tblCellMar>
            <w:top w:w="0" w:type="dxa"/>
            <w:left w:w="108" w:type="dxa"/>
            <w:bottom w:w="0" w:type="dxa"/>
            <w:right w:w="108" w:type="dxa"/>
          </w:tblCellMar>
        </w:tblPrEx>
        <w:trPr>
          <w:trHeight w:val="255" w:hRule="atLeast"/>
        </w:trPr>
        <w:tc>
          <w:tcPr>
            <w:tcW w:w="2735" w:type="dxa"/>
            <w:gridSpan w:val="4"/>
            <w:tcBorders>
              <w:top w:val="nil"/>
              <w:left w:val="nil"/>
              <w:bottom w:val="nil"/>
              <w:right w:val="nil"/>
            </w:tcBorders>
            <w:noWrap/>
            <w:vAlign w:val="bottom"/>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部门：淮南市财政局（本级）</w:t>
            </w:r>
          </w:p>
        </w:tc>
        <w:tc>
          <w:tcPr>
            <w:tcW w:w="215" w:type="dxa"/>
            <w:tcBorders>
              <w:top w:val="nil"/>
              <w:left w:val="nil"/>
              <w:bottom w:val="nil"/>
              <w:right w:val="nil"/>
            </w:tcBorders>
            <w:noWrap/>
            <w:vAlign w:val="bottom"/>
          </w:tcPr>
          <w:p>
            <w:pPr>
              <w:keepNext w:val="0"/>
              <w:keepLines w:val="0"/>
              <w:pageBreakBefore w:val="0"/>
              <w:widowControl/>
              <w:spacing w:line="288" w:lineRule="auto"/>
              <w:jc w:val="center"/>
              <w:rPr>
                <w:rFonts w:ascii="Arial" w:hAnsi="Arial" w:cs="Arial"/>
                <w:i w:val="0"/>
                <w:iCs w:val="0"/>
                <w:color w:val="000000"/>
                <w:sz w:val="20"/>
                <w:szCs w:val="20"/>
                <w:u w:val="none"/>
              </w:rPr>
            </w:pPr>
          </w:p>
        </w:tc>
        <w:tc>
          <w:tcPr>
            <w:tcW w:w="11516" w:type="dxa"/>
            <w:gridSpan w:val="12"/>
            <w:tcBorders>
              <w:top w:val="nil"/>
              <w:left w:val="nil"/>
              <w:bottom w:val="nil"/>
              <w:right w:val="nil"/>
            </w:tcBorders>
            <w:noWrap/>
            <w:vAlign w:val="bottom"/>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单位：万元</w:t>
            </w:r>
          </w:p>
        </w:tc>
      </w:tr>
      <w:tr>
        <w:tblPrEx>
          <w:tblCellMar>
            <w:top w:w="0" w:type="dxa"/>
            <w:left w:w="108" w:type="dxa"/>
            <w:bottom w:w="0" w:type="dxa"/>
            <w:right w:w="108" w:type="dxa"/>
          </w:tblCellMar>
        </w:tblPrEx>
        <w:trPr>
          <w:trHeight w:val="308" w:hRule="atLeast"/>
        </w:trPr>
        <w:tc>
          <w:tcPr>
            <w:tcW w:w="1460"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科目编码</w:t>
            </w:r>
          </w:p>
        </w:tc>
        <w:tc>
          <w:tcPr>
            <w:tcW w:w="428"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科目名称</w:t>
            </w:r>
          </w:p>
        </w:tc>
        <w:tc>
          <w:tcPr>
            <w:tcW w:w="2406" w:type="dxa"/>
            <w:gridSpan w:val="3"/>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年初结转和结余</w:t>
            </w:r>
          </w:p>
        </w:tc>
        <w:tc>
          <w:tcPr>
            <w:tcW w:w="3914" w:type="dxa"/>
            <w:gridSpan w:val="3"/>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本年收入</w:t>
            </w:r>
          </w:p>
        </w:tc>
        <w:tc>
          <w:tcPr>
            <w:tcW w:w="2735" w:type="dxa"/>
            <w:gridSpan w:val="3"/>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本年支出</w:t>
            </w:r>
          </w:p>
        </w:tc>
        <w:tc>
          <w:tcPr>
            <w:tcW w:w="3104" w:type="dxa"/>
            <w:gridSpan w:val="4"/>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年末结转和结余</w:t>
            </w:r>
          </w:p>
        </w:tc>
      </w:tr>
      <w:tr>
        <w:tblPrEx>
          <w:tblCellMar>
            <w:top w:w="0" w:type="dxa"/>
            <w:left w:w="108" w:type="dxa"/>
            <w:bottom w:w="0" w:type="dxa"/>
            <w:right w:w="108" w:type="dxa"/>
          </w:tblCellMar>
        </w:tblPrEx>
        <w:trPr>
          <w:trHeight w:val="308" w:hRule="atLeast"/>
        </w:trPr>
        <w:tc>
          <w:tcPr>
            <w:tcW w:w="146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pPr>
              <w:keepNext w:val="0"/>
              <w:keepLines w:val="0"/>
              <w:pageBreakBefore w:val="0"/>
              <w:widowControl/>
              <w:spacing w:line="288" w:lineRule="auto"/>
              <w:jc w:val="center"/>
              <w:rPr>
                <w:rFonts w:hint="eastAsia" w:ascii="宋体" w:hAnsi="宋体" w:eastAsia="宋体" w:cs="宋体"/>
                <w:i w:val="0"/>
                <w:iCs w:val="0"/>
                <w:color w:val="000000"/>
                <w:sz w:val="22"/>
                <w:szCs w:val="22"/>
                <w:u w:val="none"/>
              </w:rPr>
            </w:pPr>
          </w:p>
        </w:tc>
        <w:tc>
          <w:tcPr>
            <w:tcW w:w="428"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pacing w:line="288" w:lineRule="auto"/>
              <w:jc w:val="center"/>
              <w:rPr>
                <w:rFonts w:hint="eastAsia" w:ascii="宋体" w:hAnsi="宋体" w:eastAsia="宋体" w:cs="宋体"/>
                <w:i w:val="0"/>
                <w:iCs w:val="0"/>
                <w:color w:val="000000"/>
                <w:sz w:val="22"/>
                <w:szCs w:val="22"/>
                <w:u w:val="none"/>
              </w:rPr>
            </w:pPr>
          </w:p>
        </w:tc>
        <w:tc>
          <w:tcPr>
            <w:tcW w:w="215"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合计</w:t>
            </w:r>
          </w:p>
        </w:tc>
        <w:tc>
          <w:tcPr>
            <w:tcW w:w="272"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基本支出结转</w:t>
            </w:r>
          </w:p>
        </w:tc>
        <w:tc>
          <w:tcPr>
            <w:tcW w:w="318"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项目支出结转和结余</w:t>
            </w:r>
          </w:p>
        </w:tc>
        <w:tc>
          <w:tcPr>
            <w:tcW w:w="243"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合计</w:t>
            </w:r>
          </w:p>
        </w:tc>
        <w:tc>
          <w:tcPr>
            <w:tcW w:w="387"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基本支出</w:t>
            </w:r>
          </w:p>
        </w:tc>
        <w:tc>
          <w:tcPr>
            <w:tcW w:w="683"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项目支出</w:t>
            </w:r>
          </w:p>
        </w:tc>
        <w:tc>
          <w:tcPr>
            <w:tcW w:w="399"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合计</w:t>
            </w:r>
          </w:p>
        </w:tc>
        <w:tc>
          <w:tcPr>
            <w:tcW w:w="256"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基本支出</w:t>
            </w:r>
          </w:p>
        </w:tc>
        <w:tc>
          <w:tcPr>
            <w:tcW w:w="261"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项目支出</w:t>
            </w:r>
          </w:p>
        </w:tc>
        <w:tc>
          <w:tcPr>
            <w:tcW w:w="190"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合计</w:t>
            </w:r>
          </w:p>
        </w:tc>
        <w:tc>
          <w:tcPr>
            <w:tcW w:w="278"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基本支出结转</w:t>
            </w:r>
          </w:p>
        </w:tc>
        <w:tc>
          <w:tcPr>
            <w:tcW w:w="1709" w:type="dxa"/>
            <w:gridSpan w:val="2"/>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项目支出结转和结余</w:t>
            </w:r>
          </w:p>
        </w:tc>
      </w:tr>
      <w:tr>
        <w:tblPrEx>
          <w:tblCellMar>
            <w:top w:w="0" w:type="dxa"/>
            <w:left w:w="108" w:type="dxa"/>
            <w:bottom w:w="0" w:type="dxa"/>
            <w:right w:w="108" w:type="dxa"/>
          </w:tblCellMar>
        </w:tblPrEx>
        <w:trPr>
          <w:trHeight w:val="308" w:hRule="atLeast"/>
        </w:trPr>
        <w:tc>
          <w:tcPr>
            <w:tcW w:w="146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pPr>
              <w:keepNext w:val="0"/>
              <w:keepLines w:val="0"/>
              <w:pageBreakBefore w:val="0"/>
              <w:widowControl/>
              <w:spacing w:line="288" w:lineRule="auto"/>
              <w:jc w:val="center"/>
              <w:rPr>
                <w:rFonts w:hint="eastAsia" w:ascii="宋体" w:hAnsi="宋体" w:eastAsia="宋体" w:cs="宋体"/>
                <w:i w:val="0"/>
                <w:iCs w:val="0"/>
                <w:color w:val="000000"/>
                <w:sz w:val="22"/>
                <w:szCs w:val="22"/>
                <w:u w:val="none"/>
              </w:rPr>
            </w:pPr>
          </w:p>
        </w:tc>
        <w:tc>
          <w:tcPr>
            <w:tcW w:w="428"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pPr>
              <w:keepNext w:val="0"/>
              <w:keepLines w:val="0"/>
              <w:pageBreakBefore w:val="0"/>
              <w:widowControl/>
              <w:spacing w:line="288" w:lineRule="auto"/>
              <w:jc w:val="center"/>
              <w:rPr>
                <w:rFonts w:hint="eastAsia" w:ascii="宋体" w:hAnsi="宋体" w:eastAsia="宋体" w:cs="宋体"/>
                <w:i w:val="0"/>
                <w:iCs w:val="0"/>
                <w:color w:val="000000"/>
                <w:sz w:val="22"/>
                <w:szCs w:val="22"/>
                <w:u w:val="none"/>
              </w:rPr>
            </w:pPr>
          </w:p>
        </w:tc>
        <w:tc>
          <w:tcPr>
            <w:tcW w:w="215" w:type="dxa"/>
            <w:vMerge w:val="continue"/>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pacing w:line="288" w:lineRule="auto"/>
              <w:jc w:val="center"/>
              <w:rPr>
                <w:rFonts w:hint="eastAsia" w:ascii="宋体" w:hAnsi="宋体" w:eastAsia="宋体" w:cs="宋体"/>
                <w:i w:val="0"/>
                <w:iCs w:val="0"/>
                <w:color w:val="000000"/>
                <w:sz w:val="22"/>
                <w:szCs w:val="22"/>
                <w:u w:val="none"/>
              </w:rPr>
            </w:pPr>
          </w:p>
        </w:tc>
        <w:tc>
          <w:tcPr>
            <w:tcW w:w="272" w:type="dxa"/>
            <w:vMerge w:val="continue"/>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pacing w:line="288" w:lineRule="auto"/>
              <w:jc w:val="center"/>
              <w:rPr>
                <w:rFonts w:hint="eastAsia" w:ascii="宋体" w:hAnsi="宋体" w:eastAsia="宋体" w:cs="宋体"/>
                <w:i w:val="0"/>
                <w:iCs w:val="0"/>
                <w:color w:val="000000"/>
                <w:sz w:val="22"/>
                <w:szCs w:val="22"/>
                <w:u w:val="none"/>
              </w:rPr>
            </w:pPr>
          </w:p>
        </w:tc>
        <w:tc>
          <w:tcPr>
            <w:tcW w:w="318" w:type="dxa"/>
            <w:vMerge w:val="continue"/>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pacing w:line="288" w:lineRule="auto"/>
              <w:jc w:val="center"/>
              <w:rPr>
                <w:rFonts w:hint="eastAsia" w:ascii="宋体" w:hAnsi="宋体" w:eastAsia="宋体" w:cs="宋体"/>
                <w:i w:val="0"/>
                <w:iCs w:val="0"/>
                <w:color w:val="000000"/>
                <w:sz w:val="22"/>
                <w:szCs w:val="22"/>
                <w:u w:val="none"/>
              </w:rPr>
            </w:pPr>
          </w:p>
        </w:tc>
        <w:tc>
          <w:tcPr>
            <w:tcW w:w="243" w:type="dxa"/>
            <w:vMerge w:val="continue"/>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pacing w:line="288" w:lineRule="auto"/>
              <w:jc w:val="center"/>
              <w:rPr>
                <w:rFonts w:hint="eastAsia" w:ascii="宋体" w:hAnsi="宋体" w:eastAsia="宋体" w:cs="宋体"/>
                <w:i w:val="0"/>
                <w:iCs w:val="0"/>
                <w:color w:val="000000"/>
                <w:sz w:val="22"/>
                <w:szCs w:val="22"/>
                <w:u w:val="none"/>
              </w:rPr>
            </w:pPr>
          </w:p>
        </w:tc>
        <w:tc>
          <w:tcPr>
            <w:tcW w:w="387" w:type="dxa"/>
            <w:vMerge w:val="continue"/>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pacing w:line="288" w:lineRule="auto"/>
              <w:jc w:val="center"/>
              <w:rPr>
                <w:rFonts w:hint="eastAsia" w:ascii="宋体" w:hAnsi="宋体" w:eastAsia="宋体" w:cs="宋体"/>
                <w:i w:val="0"/>
                <w:iCs w:val="0"/>
                <w:color w:val="000000"/>
                <w:sz w:val="22"/>
                <w:szCs w:val="22"/>
                <w:u w:val="none"/>
              </w:rPr>
            </w:pPr>
          </w:p>
        </w:tc>
        <w:tc>
          <w:tcPr>
            <w:tcW w:w="683" w:type="dxa"/>
            <w:vMerge w:val="continue"/>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pacing w:line="288" w:lineRule="auto"/>
              <w:jc w:val="center"/>
              <w:rPr>
                <w:rFonts w:hint="eastAsia" w:ascii="宋体" w:hAnsi="宋体" w:eastAsia="宋体" w:cs="宋体"/>
                <w:i w:val="0"/>
                <w:iCs w:val="0"/>
                <w:color w:val="000000"/>
                <w:sz w:val="22"/>
                <w:szCs w:val="22"/>
                <w:u w:val="none"/>
              </w:rPr>
            </w:pPr>
          </w:p>
        </w:tc>
        <w:tc>
          <w:tcPr>
            <w:tcW w:w="399" w:type="dxa"/>
            <w:vMerge w:val="continue"/>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pacing w:line="288" w:lineRule="auto"/>
              <w:jc w:val="center"/>
              <w:rPr>
                <w:rFonts w:hint="eastAsia" w:ascii="宋体" w:hAnsi="宋体" w:eastAsia="宋体" w:cs="宋体"/>
                <w:i w:val="0"/>
                <w:iCs w:val="0"/>
                <w:color w:val="000000"/>
                <w:sz w:val="22"/>
                <w:szCs w:val="22"/>
                <w:u w:val="none"/>
              </w:rPr>
            </w:pPr>
          </w:p>
        </w:tc>
        <w:tc>
          <w:tcPr>
            <w:tcW w:w="256" w:type="dxa"/>
            <w:vMerge w:val="continue"/>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pacing w:line="288" w:lineRule="auto"/>
              <w:jc w:val="center"/>
              <w:rPr>
                <w:rFonts w:hint="eastAsia" w:ascii="宋体" w:hAnsi="宋体" w:eastAsia="宋体" w:cs="宋体"/>
                <w:i w:val="0"/>
                <w:iCs w:val="0"/>
                <w:color w:val="000000"/>
                <w:sz w:val="22"/>
                <w:szCs w:val="22"/>
                <w:u w:val="none"/>
              </w:rPr>
            </w:pPr>
          </w:p>
        </w:tc>
        <w:tc>
          <w:tcPr>
            <w:tcW w:w="261" w:type="dxa"/>
            <w:vMerge w:val="continue"/>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pacing w:line="288" w:lineRule="auto"/>
              <w:jc w:val="center"/>
              <w:rPr>
                <w:rFonts w:hint="eastAsia" w:ascii="宋体" w:hAnsi="宋体" w:eastAsia="宋体" w:cs="宋体"/>
                <w:i w:val="0"/>
                <w:iCs w:val="0"/>
                <w:color w:val="000000"/>
                <w:sz w:val="22"/>
                <w:szCs w:val="22"/>
                <w:u w:val="none"/>
              </w:rPr>
            </w:pPr>
          </w:p>
        </w:tc>
        <w:tc>
          <w:tcPr>
            <w:tcW w:w="190" w:type="dxa"/>
            <w:vMerge w:val="continue"/>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pacing w:line="288" w:lineRule="auto"/>
              <w:jc w:val="center"/>
              <w:rPr>
                <w:rFonts w:hint="eastAsia" w:ascii="宋体" w:hAnsi="宋体" w:eastAsia="宋体" w:cs="宋体"/>
                <w:i w:val="0"/>
                <w:iCs w:val="0"/>
                <w:color w:val="000000"/>
                <w:sz w:val="22"/>
                <w:szCs w:val="22"/>
                <w:u w:val="none"/>
              </w:rPr>
            </w:pPr>
          </w:p>
        </w:tc>
        <w:tc>
          <w:tcPr>
            <w:tcW w:w="278" w:type="dxa"/>
            <w:vMerge w:val="continue"/>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pacing w:line="288" w:lineRule="auto"/>
              <w:jc w:val="center"/>
              <w:rPr>
                <w:rFonts w:hint="eastAsia" w:ascii="宋体" w:hAnsi="宋体" w:eastAsia="宋体" w:cs="宋体"/>
                <w:i w:val="0"/>
                <w:iCs w:val="0"/>
                <w:color w:val="000000"/>
                <w:sz w:val="22"/>
                <w:szCs w:val="22"/>
                <w:u w:val="none"/>
              </w:rPr>
            </w:pPr>
          </w:p>
        </w:tc>
        <w:tc>
          <w:tcPr>
            <w:tcW w:w="216"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项目支出结转</w:t>
            </w:r>
          </w:p>
        </w:tc>
        <w:tc>
          <w:tcPr>
            <w:tcW w:w="357"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项目支出结余</w:t>
            </w:r>
          </w:p>
        </w:tc>
      </w:tr>
      <w:tr>
        <w:tblPrEx>
          <w:tblCellMar>
            <w:top w:w="0" w:type="dxa"/>
            <w:left w:w="108" w:type="dxa"/>
            <w:bottom w:w="0" w:type="dxa"/>
            <w:right w:w="108" w:type="dxa"/>
          </w:tblCellMar>
        </w:tblPrEx>
        <w:trPr>
          <w:trHeight w:val="308" w:hRule="atLeast"/>
        </w:trPr>
        <w:tc>
          <w:tcPr>
            <w:tcW w:w="161" w:type="dxa"/>
            <w:vMerge w:val="restart"/>
            <w:tcBorders>
              <w:top w:val="nil"/>
              <w:left w:val="single" w:color="000000" w:sz="4" w:space="0"/>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类</w:t>
            </w:r>
          </w:p>
        </w:tc>
        <w:tc>
          <w:tcPr>
            <w:tcW w:w="161"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款</w:t>
            </w:r>
          </w:p>
        </w:tc>
        <w:tc>
          <w:tcPr>
            <w:tcW w:w="167" w:type="dxa"/>
            <w:vMerge w:val="restart"/>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项</w:t>
            </w:r>
          </w:p>
        </w:tc>
        <w:tc>
          <w:tcPr>
            <w:tcW w:w="428" w:type="dxa"/>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栏次</w:t>
            </w:r>
          </w:p>
        </w:tc>
        <w:tc>
          <w:tcPr>
            <w:tcW w:w="215"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w:t>
            </w:r>
          </w:p>
        </w:tc>
        <w:tc>
          <w:tcPr>
            <w:tcW w:w="272"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w:t>
            </w:r>
          </w:p>
        </w:tc>
        <w:tc>
          <w:tcPr>
            <w:tcW w:w="31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w:t>
            </w:r>
          </w:p>
        </w:tc>
        <w:tc>
          <w:tcPr>
            <w:tcW w:w="24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4</w:t>
            </w:r>
          </w:p>
        </w:tc>
        <w:tc>
          <w:tcPr>
            <w:tcW w:w="387"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5</w:t>
            </w:r>
          </w:p>
        </w:tc>
        <w:tc>
          <w:tcPr>
            <w:tcW w:w="683"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6</w:t>
            </w:r>
          </w:p>
        </w:tc>
        <w:tc>
          <w:tcPr>
            <w:tcW w:w="399"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7</w:t>
            </w:r>
          </w:p>
        </w:tc>
        <w:tc>
          <w:tcPr>
            <w:tcW w:w="25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8</w:t>
            </w:r>
          </w:p>
        </w:tc>
        <w:tc>
          <w:tcPr>
            <w:tcW w:w="261"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9</w:t>
            </w:r>
          </w:p>
        </w:tc>
        <w:tc>
          <w:tcPr>
            <w:tcW w:w="190"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10</w:t>
            </w:r>
          </w:p>
        </w:tc>
        <w:tc>
          <w:tcPr>
            <w:tcW w:w="278"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11</w:t>
            </w:r>
          </w:p>
        </w:tc>
        <w:tc>
          <w:tcPr>
            <w:tcW w:w="216"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12</w:t>
            </w:r>
          </w:p>
        </w:tc>
        <w:tc>
          <w:tcPr>
            <w:tcW w:w="357" w:type="dxa"/>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13</w:t>
            </w:r>
          </w:p>
        </w:tc>
      </w:tr>
      <w:tr>
        <w:tblPrEx>
          <w:tblCellMar>
            <w:top w:w="0" w:type="dxa"/>
            <w:left w:w="108" w:type="dxa"/>
            <w:bottom w:w="0" w:type="dxa"/>
            <w:right w:w="108" w:type="dxa"/>
          </w:tblCellMar>
        </w:tblPrEx>
        <w:trPr>
          <w:trHeight w:val="308" w:hRule="atLeast"/>
        </w:trPr>
        <w:tc>
          <w:tcPr>
            <w:tcW w:w="161" w:type="dxa"/>
            <w:vMerge w:val="continue"/>
            <w:tcBorders>
              <w:top w:val="nil"/>
              <w:left w:val="single" w:color="000000" w:sz="4" w:space="0"/>
              <w:bottom w:val="single" w:color="000000" w:sz="4" w:space="0"/>
              <w:right w:val="single" w:color="000000" w:sz="4" w:space="0"/>
            </w:tcBorders>
            <w:shd w:val="clear" w:color="FFFFFF" w:fill="C0C0C0"/>
            <w:noWrap w:val="0"/>
            <w:vAlign w:val="center"/>
          </w:tcPr>
          <w:p>
            <w:pPr>
              <w:keepNext w:val="0"/>
              <w:keepLines w:val="0"/>
              <w:pageBreakBefore w:val="0"/>
              <w:widowControl/>
              <w:spacing w:line="288" w:lineRule="auto"/>
              <w:jc w:val="center"/>
              <w:rPr>
                <w:rFonts w:hint="eastAsia" w:ascii="宋体" w:hAnsi="宋体" w:eastAsia="宋体" w:cs="宋体"/>
                <w:i w:val="0"/>
                <w:iCs w:val="0"/>
                <w:color w:val="000000"/>
                <w:sz w:val="22"/>
                <w:szCs w:val="22"/>
                <w:u w:val="none"/>
              </w:rPr>
            </w:pPr>
          </w:p>
        </w:tc>
        <w:tc>
          <w:tcPr>
            <w:tcW w:w="161" w:type="dxa"/>
            <w:vMerge w:val="continue"/>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pacing w:line="288" w:lineRule="auto"/>
              <w:jc w:val="center"/>
              <w:rPr>
                <w:rFonts w:hint="eastAsia" w:ascii="宋体" w:hAnsi="宋体" w:eastAsia="宋体" w:cs="宋体"/>
                <w:i w:val="0"/>
                <w:iCs w:val="0"/>
                <w:color w:val="000000"/>
                <w:sz w:val="22"/>
                <w:szCs w:val="22"/>
                <w:u w:val="none"/>
              </w:rPr>
            </w:pPr>
          </w:p>
        </w:tc>
        <w:tc>
          <w:tcPr>
            <w:tcW w:w="167" w:type="dxa"/>
            <w:vMerge w:val="continue"/>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pacing w:line="288" w:lineRule="auto"/>
              <w:jc w:val="center"/>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shd w:val="clear" w:color="FFFFFF" w:fill="C0C0C0"/>
            <w:noWrap w:val="0"/>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合计</w:t>
            </w:r>
          </w:p>
        </w:tc>
        <w:tc>
          <w:tcPr>
            <w:tcW w:w="21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b/>
                <w:bCs/>
                <w:i w:val="0"/>
                <w:iCs w:val="0"/>
                <w:color w:val="000000"/>
                <w:sz w:val="22"/>
                <w:szCs w:val="22"/>
                <w:u w:val="none"/>
              </w:rPr>
            </w:pPr>
          </w:p>
        </w:tc>
        <w:tc>
          <w:tcPr>
            <w:tcW w:w="27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b/>
                <w:bCs/>
                <w:i w:val="0"/>
                <w:iCs w:val="0"/>
                <w:color w:val="000000"/>
                <w:sz w:val="22"/>
                <w:szCs w:val="22"/>
                <w:u w:val="none"/>
              </w:rPr>
            </w:pPr>
          </w:p>
        </w:tc>
        <w:tc>
          <w:tcPr>
            <w:tcW w:w="31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b/>
                <w:bCs/>
                <w:i w:val="0"/>
                <w:iCs w:val="0"/>
                <w:color w:val="000000"/>
                <w:sz w:val="22"/>
                <w:szCs w:val="22"/>
                <w:u w:val="none"/>
              </w:rPr>
            </w:pPr>
          </w:p>
        </w:tc>
        <w:tc>
          <w:tcPr>
            <w:tcW w:w="24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b/>
                <w:bCs/>
                <w:i w:val="0"/>
                <w:iCs w:val="0"/>
                <w:color w:val="000000"/>
                <w:sz w:val="22"/>
                <w:szCs w:val="22"/>
                <w:u w:val="none"/>
              </w:rPr>
            </w:pPr>
          </w:p>
        </w:tc>
        <w:tc>
          <w:tcPr>
            <w:tcW w:w="38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b/>
                <w:bCs/>
                <w:i w:val="0"/>
                <w:iCs w:val="0"/>
                <w:color w:val="000000"/>
                <w:sz w:val="22"/>
                <w:szCs w:val="22"/>
                <w:u w:val="none"/>
              </w:rPr>
            </w:pPr>
          </w:p>
        </w:tc>
        <w:tc>
          <w:tcPr>
            <w:tcW w:w="6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b/>
                <w:bCs/>
                <w:i w:val="0"/>
                <w:iCs w:val="0"/>
                <w:color w:val="000000"/>
                <w:sz w:val="22"/>
                <w:szCs w:val="22"/>
                <w:u w:val="none"/>
              </w:rPr>
            </w:pPr>
          </w:p>
        </w:tc>
        <w:tc>
          <w:tcPr>
            <w:tcW w:w="39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w:t>
            </w:r>
          </w:p>
        </w:tc>
        <w:tc>
          <w:tcPr>
            <w:tcW w:w="25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w:t>
            </w:r>
          </w:p>
        </w:tc>
        <w:tc>
          <w:tcPr>
            <w:tcW w:w="261"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w:t>
            </w:r>
          </w:p>
        </w:tc>
        <w:tc>
          <w:tcPr>
            <w:tcW w:w="1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w:t>
            </w:r>
          </w:p>
        </w:tc>
        <w:tc>
          <w:tcPr>
            <w:tcW w:w="27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w:t>
            </w:r>
          </w:p>
        </w:tc>
        <w:tc>
          <w:tcPr>
            <w:tcW w:w="21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w:t>
            </w:r>
          </w:p>
        </w:tc>
        <w:tc>
          <w:tcPr>
            <w:tcW w:w="35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bidi="ar"/>
              </w:rPr>
              <w:t>　</w:t>
            </w:r>
          </w:p>
        </w:tc>
      </w:tr>
      <w:tr>
        <w:tblPrEx>
          <w:tblCellMar>
            <w:top w:w="0" w:type="dxa"/>
            <w:left w:w="108" w:type="dxa"/>
            <w:bottom w:w="0" w:type="dxa"/>
            <w:right w:w="108" w:type="dxa"/>
          </w:tblCellMar>
        </w:tblPrEx>
        <w:trPr>
          <w:trHeight w:val="308" w:hRule="atLeast"/>
        </w:trPr>
        <w:tc>
          <w:tcPr>
            <w:tcW w:w="146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21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27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31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24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38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39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5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61"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7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1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35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r>
      <w:tr>
        <w:tblPrEx>
          <w:tblCellMar>
            <w:top w:w="0" w:type="dxa"/>
            <w:left w:w="108" w:type="dxa"/>
            <w:bottom w:w="0" w:type="dxa"/>
            <w:right w:w="108" w:type="dxa"/>
          </w:tblCellMar>
        </w:tblPrEx>
        <w:trPr>
          <w:trHeight w:val="308" w:hRule="atLeast"/>
        </w:trPr>
        <w:tc>
          <w:tcPr>
            <w:tcW w:w="146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21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27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31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24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38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39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5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61"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7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1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35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r>
      <w:tr>
        <w:tblPrEx>
          <w:tblCellMar>
            <w:top w:w="0" w:type="dxa"/>
            <w:left w:w="108" w:type="dxa"/>
            <w:bottom w:w="0" w:type="dxa"/>
            <w:right w:w="108" w:type="dxa"/>
          </w:tblCellMar>
        </w:tblPrEx>
        <w:trPr>
          <w:trHeight w:val="308" w:hRule="atLeast"/>
        </w:trPr>
        <w:tc>
          <w:tcPr>
            <w:tcW w:w="146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21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27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31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24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38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39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5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61"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7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1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35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r>
      <w:tr>
        <w:tblPrEx>
          <w:tblCellMar>
            <w:top w:w="0" w:type="dxa"/>
            <w:left w:w="108" w:type="dxa"/>
            <w:bottom w:w="0" w:type="dxa"/>
            <w:right w:w="108" w:type="dxa"/>
          </w:tblCellMar>
        </w:tblPrEx>
        <w:trPr>
          <w:trHeight w:val="308" w:hRule="atLeast"/>
        </w:trPr>
        <w:tc>
          <w:tcPr>
            <w:tcW w:w="146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21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27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31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24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38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39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5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61"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7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1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35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r>
      <w:tr>
        <w:tblPrEx>
          <w:tblCellMar>
            <w:top w:w="0" w:type="dxa"/>
            <w:left w:w="108" w:type="dxa"/>
            <w:bottom w:w="0" w:type="dxa"/>
            <w:right w:w="108" w:type="dxa"/>
          </w:tblCellMar>
        </w:tblPrEx>
        <w:trPr>
          <w:trHeight w:val="308" w:hRule="atLeast"/>
        </w:trPr>
        <w:tc>
          <w:tcPr>
            <w:tcW w:w="1460" w:type="dxa"/>
            <w:gridSpan w:val="3"/>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215"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272"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31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24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38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2"/>
                <w:szCs w:val="22"/>
                <w:u w:val="none"/>
              </w:rPr>
            </w:pPr>
          </w:p>
        </w:tc>
        <w:tc>
          <w:tcPr>
            <w:tcW w:w="399"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5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61"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90"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78"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16"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357" w:type="dxa"/>
            <w:tcBorders>
              <w:top w:val="nil"/>
              <w:left w:val="nil"/>
              <w:bottom w:val="single" w:color="000000" w:sz="4" w:space="0"/>
              <w:right w:val="single" w:color="000000" w:sz="4" w:space="0"/>
            </w:tcBorders>
            <w:noWrap/>
            <w:vAlign w:val="center"/>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r>
      <w:tr>
        <w:tblPrEx>
          <w:tblCellMar>
            <w:top w:w="0" w:type="dxa"/>
            <w:left w:w="108" w:type="dxa"/>
            <w:bottom w:w="0" w:type="dxa"/>
            <w:right w:w="108" w:type="dxa"/>
          </w:tblCellMar>
        </w:tblPrEx>
        <w:trPr>
          <w:trHeight w:val="293" w:hRule="atLeast"/>
        </w:trPr>
        <w:tc>
          <w:tcPr>
            <w:tcW w:w="14894" w:type="dxa"/>
            <w:gridSpan w:val="17"/>
            <w:tcBorders>
              <w:top w:val="nil"/>
              <w:left w:val="nil"/>
              <w:bottom w:val="nil"/>
              <w:right w:val="nil"/>
            </w:tcBorders>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注：淮南市财政局（本级）没有政府性基金收入，也没有使用政府性基金安排的支出，故此表无数据。</w:t>
            </w:r>
          </w:p>
        </w:tc>
      </w:tr>
      <w:tr>
        <w:tblPrEx>
          <w:tblCellMar>
            <w:top w:w="0" w:type="dxa"/>
            <w:left w:w="108" w:type="dxa"/>
            <w:bottom w:w="0" w:type="dxa"/>
            <w:right w:w="108" w:type="dxa"/>
          </w:tblCellMar>
        </w:tblPrEx>
        <w:trPr>
          <w:trHeight w:val="308" w:hRule="atLeast"/>
        </w:trPr>
        <w:tc>
          <w:tcPr>
            <w:tcW w:w="14894" w:type="dxa"/>
            <w:gridSpan w:val="17"/>
            <w:tcBorders>
              <w:top w:val="nil"/>
              <w:left w:val="nil"/>
              <w:bottom w:val="nil"/>
              <w:right w:val="nil"/>
            </w:tcBorders>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p>
        </w:tc>
      </w:tr>
    </w:tbl>
    <w:p>
      <w:pPr>
        <w:keepNext w:val="0"/>
        <w:keepLines w:val="0"/>
        <w:pageBreakBefore w:val="0"/>
        <w:spacing w:line="240" w:lineRule="atLeast"/>
        <w:rPr>
          <w:rFonts w:hint="eastAsia" w:ascii="黑体" w:hAnsi="黑体" w:eastAsia="黑体"/>
          <w:szCs w:val="32"/>
        </w:rPr>
      </w:pPr>
    </w:p>
    <w:p>
      <w:pPr>
        <w:keepNext w:val="0"/>
        <w:keepLines w:val="0"/>
        <w:pageBreakBefore w:val="0"/>
        <w:spacing w:line="240" w:lineRule="atLeast"/>
        <w:rPr>
          <w:rFonts w:hint="eastAsia" w:ascii="黑体" w:hAnsi="黑体" w:eastAsia="黑体"/>
          <w:szCs w:val="32"/>
        </w:rPr>
      </w:pPr>
    </w:p>
    <w:p>
      <w:pPr>
        <w:keepNext w:val="0"/>
        <w:keepLines w:val="0"/>
        <w:pageBreakBefore w:val="0"/>
        <w:spacing w:line="240" w:lineRule="atLeast"/>
        <w:rPr>
          <w:rFonts w:hint="eastAsia" w:ascii="黑体" w:hAnsi="黑体" w:eastAsia="黑体"/>
          <w:szCs w:val="32"/>
        </w:rPr>
      </w:pPr>
    </w:p>
    <w:p>
      <w:pPr>
        <w:keepNext w:val="0"/>
        <w:keepLines w:val="0"/>
        <w:pageBreakBefore w:val="0"/>
        <w:numPr>
          <w:ilvl w:val="0"/>
          <w:numId w:val="0"/>
        </w:numPr>
        <w:spacing w:line="560" w:lineRule="exact"/>
        <w:ind w:firstLine="4396"/>
        <w:jc w:val="both"/>
        <w:rPr>
          <w:rFonts w:hint="eastAsia" w:ascii="黑体" w:hAnsi="黑体" w:eastAsia="黑体"/>
          <w:szCs w:val="32"/>
          <w:highlight w:val="none"/>
        </w:rPr>
      </w:pPr>
      <w:r>
        <w:rPr>
          <w:rFonts w:hint="eastAsia" w:ascii="黑体" w:hAnsi="黑体" w:eastAsia="黑体"/>
          <w:szCs w:val="32"/>
          <w:highlight w:val="none"/>
          <w:lang w:eastAsia="zh-CN"/>
        </w:rPr>
        <w:t>八、</w:t>
      </w:r>
      <w:r>
        <w:rPr>
          <w:rFonts w:hint="eastAsia" w:ascii="黑体" w:hAnsi="黑体" w:eastAsia="黑体"/>
          <w:szCs w:val="32"/>
          <w:highlight w:val="none"/>
        </w:rPr>
        <w:t>国有资本经营预算财政拨款支出决算表</w:t>
      </w:r>
    </w:p>
    <w:p>
      <w:pPr>
        <w:keepNext w:val="0"/>
        <w:keepLines w:val="0"/>
        <w:pageBreakBefore w:val="0"/>
        <w:numPr>
          <w:ilvl w:val="0"/>
          <w:numId w:val="0"/>
        </w:numPr>
        <w:spacing w:line="560" w:lineRule="exact"/>
        <w:jc w:val="both"/>
        <w:rPr>
          <w:rFonts w:hint="eastAsia" w:ascii="黑体" w:hAnsi="黑体" w:eastAsia="黑体"/>
          <w:szCs w:val="32"/>
          <w:highlight w:val="none"/>
        </w:rPr>
      </w:pPr>
    </w:p>
    <w:tbl>
      <w:tblPr>
        <w:tblStyle w:val="28"/>
        <w:tblW w:w="5000" w:type="pct"/>
        <w:tblInd w:w="-108" w:type="dxa"/>
        <w:tblLayout w:type="fixed"/>
        <w:tblCellMar>
          <w:top w:w="0" w:type="dxa"/>
          <w:left w:w="108" w:type="dxa"/>
          <w:bottom w:w="0" w:type="dxa"/>
          <w:right w:w="108" w:type="dxa"/>
        </w:tblCellMar>
      </w:tblPr>
      <w:tblGrid>
        <w:gridCol w:w="2255"/>
        <w:gridCol w:w="482"/>
        <w:gridCol w:w="644"/>
        <w:gridCol w:w="1216"/>
        <w:gridCol w:w="3427"/>
        <w:gridCol w:w="3427"/>
        <w:gridCol w:w="3447"/>
        <w:gridCol w:w="9"/>
      </w:tblGrid>
      <w:tr>
        <w:tblPrEx>
          <w:tblCellMar>
            <w:top w:w="0" w:type="dxa"/>
            <w:left w:w="108" w:type="dxa"/>
            <w:bottom w:w="0" w:type="dxa"/>
            <w:right w:w="108" w:type="dxa"/>
          </w:tblCellMar>
        </w:tblPrEx>
        <w:trPr>
          <w:trHeight w:val="255" w:hRule="atLeast"/>
        </w:trPr>
        <w:tc>
          <w:tcPr>
            <w:tcW w:w="14894" w:type="dxa"/>
            <w:gridSpan w:val="8"/>
            <w:tcBorders>
              <w:top w:val="nil"/>
              <w:left w:val="nil"/>
              <w:bottom w:val="nil"/>
              <w:right w:val="nil"/>
            </w:tcBorders>
            <w:noWrap/>
            <w:vAlign w:val="bottom"/>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公开08表</w:t>
            </w:r>
          </w:p>
        </w:tc>
      </w:tr>
      <w:tr>
        <w:tblPrEx>
          <w:tblCellMar>
            <w:top w:w="0" w:type="dxa"/>
            <w:left w:w="108" w:type="dxa"/>
            <w:bottom w:w="0" w:type="dxa"/>
            <w:right w:w="108" w:type="dxa"/>
          </w:tblCellMar>
        </w:tblPrEx>
        <w:trPr>
          <w:trHeight w:val="255" w:hRule="atLeast"/>
        </w:trPr>
        <w:tc>
          <w:tcPr>
            <w:tcW w:w="2735" w:type="dxa"/>
            <w:gridSpan w:val="2"/>
            <w:tcBorders>
              <w:top w:val="nil"/>
              <w:left w:val="nil"/>
              <w:bottom w:val="nil"/>
              <w:right w:val="nil"/>
            </w:tcBorders>
            <w:noWrap/>
            <w:vAlign w:val="bottom"/>
          </w:tcPr>
          <w:p>
            <w:pPr>
              <w:keepNext w:val="0"/>
              <w:keepLines w:val="0"/>
              <w:pageBreakBefore w:val="0"/>
              <w:widowControl/>
              <w:suppressLineNumbers w:val="0"/>
              <w:spacing w:line="288" w:lineRule="auto"/>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部门：淮南市财政局（本级）</w:t>
            </w:r>
          </w:p>
        </w:tc>
        <w:tc>
          <w:tcPr>
            <w:tcW w:w="215" w:type="dxa"/>
            <w:tcBorders>
              <w:top w:val="nil"/>
              <w:left w:val="nil"/>
              <w:bottom w:val="nil"/>
              <w:right w:val="nil"/>
            </w:tcBorders>
            <w:noWrap/>
            <w:vAlign w:val="bottom"/>
          </w:tcPr>
          <w:p>
            <w:pPr>
              <w:keepNext w:val="0"/>
              <w:keepLines w:val="0"/>
              <w:pageBreakBefore w:val="0"/>
              <w:widowControl/>
              <w:spacing w:line="288" w:lineRule="auto"/>
              <w:jc w:val="center"/>
              <w:rPr>
                <w:rFonts w:ascii="Arial" w:hAnsi="Arial" w:cs="Arial"/>
                <w:i w:val="0"/>
                <w:iCs w:val="0"/>
                <w:color w:val="000000"/>
                <w:sz w:val="20"/>
                <w:szCs w:val="20"/>
                <w:u w:val="none"/>
              </w:rPr>
            </w:pPr>
          </w:p>
        </w:tc>
        <w:tc>
          <w:tcPr>
            <w:tcW w:w="11516" w:type="dxa"/>
            <w:gridSpan w:val="5"/>
            <w:tcBorders>
              <w:top w:val="nil"/>
              <w:left w:val="nil"/>
              <w:bottom w:val="nil"/>
              <w:right w:val="nil"/>
            </w:tcBorders>
            <w:noWrap/>
            <w:vAlign w:val="bottom"/>
          </w:tcPr>
          <w:p>
            <w:pPr>
              <w:keepNext w:val="0"/>
              <w:keepLines w:val="0"/>
              <w:pageBreakBefore w:val="0"/>
              <w:widowControl/>
              <w:suppressLineNumbers w:val="0"/>
              <w:spacing w:line="288" w:lineRule="auto"/>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bidi="ar"/>
              </w:rPr>
              <w:t>单位：万元</w:t>
            </w:r>
          </w:p>
        </w:tc>
      </w:tr>
      <w:tr>
        <w:tblPrEx>
          <w:tblCellMar>
            <w:top w:w="0" w:type="dxa"/>
            <w:left w:w="108" w:type="dxa"/>
            <w:bottom w:w="0" w:type="dxa"/>
            <w:right w:w="108" w:type="dxa"/>
          </w:tblCellMar>
        </w:tblPrEx>
        <w:trPr>
          <w:gridAfter w:val="1"/>
          <w:wAfter w:w="9" w:type="dxa"/>
          <w:trHeight w:val="308" w:hRule="atLeast"/>
        </w:trPr>
        <w:tc>
          <w:tcPr>
            <w:tcW w:w="4593"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项目</w:t>
            </w:r>
          </w:p>
        </w:tc>
        <w:tc>
          <w:tcPr>
            <w:tcW w:w="10292" w:type="dxa"/>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本年支出</w:t>
            </w:r>
          </w:p>
        </w:tc>
      </w:tr>
      <w:tr>
        <w:tblPrEx>
          <w:tblCellMar>
            <w:top w:w="0" w:type="dxa"/>
            <w:left w:w="108" w:type="dxa"/>
            <w:bottom w:w="0" w:type="dxa"/>
            <w:right w:w="108" w:type="dxa"/>
          </w:tblCellMar>
        </w:tblPrEx>
        <w:trPr>
          <w:gridAfter w:val="1"/>
          <w:wAfter w:w="9" w:type="dxa"/>
          <w:trHeight w:val="308" w:hRule="atLeast"/>
        </w:trPr>
        <w:tc>
          <w:tcPr>
            <w:tcW w:w="756" w:type="dxa"/>
            <w:vMerge w:val="restart"/>
            <w:tcBorders>
              <w:top w:val="nil"/>
              <w:left w:val="single" w:color="000000" w:sz="4" w:space="0"/>
              <w:bottom w:val="single" w:color="000000" w:sz="4" w:space="0"/>
              <w:right w:val="single" w:color="000000" w:sz="4" w:space="0"/>
            </w:tcBorders>
            <w:shd w:val="clear" w:color="FFFFFF" w:fill="C0C0C0"/>
            <w:noWrap w:val="0"/>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功能分类科目编码</w:t>
            </w:r>
          </w:p>
        </w:tc>
        <w:tc>
          <w:tcPr>
            <w:tcW w:w="2340" w:type="dxa"/>
            <w:gridSpan w:val="3"/>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科目名称</w:t>
            </w:r>
          </w:p>
        </w:tc>
        <w:tc>
          <w:tcPr>
            <w:tcW w:w="1149"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小计</w:t>
            </w:r>
          </w:p>
        </w:tc>
        <w:tc>
          <w:tcPr>
            <w:tcW w:w="1149"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基本支出</w:t>
            </w:r>
          </w:p>
        </w:tc>
        <w:tc>
          <w:tcPr>
            <w:tcW w:w="115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项目支出</w:t>
            </w:r>
          </w:p>
        </w:tc>
      </w:tr>
      <w:tr>
        <w:tblPrEx>
          <w:tblCellMar>
            <w:top w:w="0" w:type="dxa"/>
            <w:left w:w="108" w:type="dxa"/>
            <w:bottom w:w="0" w:type="dxa"/>
            <w:right w:w="108" w:type="dxa"/>
          </w:tblCellMar>
        </w:tblPrEx>
        <w:trPr>
          <w:gridAfter w:val="1"/>
          <w:wAfter w:w="9" w:type="dxa"/>
          <w:trHeight w:val="308" w:hRule="atLeast"/>
        </w:trPr>
        <w:tc>
          <w:tcPr>
            <w:tcW w:w="4593"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栏次</w:t>
            </w:r>
          </w:p>
        </w:tc>
        <w:tc>
          <w:tcPr>
            <w:tcW w:w="114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1</w:t>
            </w:r>
          </w:p>
        </w:tc>
        <w:tc>
          <w:tcPr>
            <w:tcW w:w="114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2</w:t>
            </w:r>
          </w:p>
        </w:tc>
        <w:tc>
          <w:tcPr>
            <w:tcW w:w="11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3</w:t>
            </w:r>
          </w:p>
        </w:tc>
      </w:tr>
      <w:tr>
        <w:tblPrEx>
          <w:tblCellMar>
            <w:top w:w="0" w:type="dxa"/>
            <w:left w:w="108" w:type="dxa"/>
            <w:bottom w:w="0" w:type="dxa"/>
            <w:right w:w="108" w:type="dxa"/>
          </w:tblCellMar>
        </w:tblPrEx>
        <w:trPr>
          <w:gridAfter w:val="1"/>
          <w:wAfter w:w="9" w:type="dxa"/>
          <w:trHeight w:val="308" w:hRule="atLeast"/>
        </w:trPr>
        <w:tc>
          <w:tcPr>
            <w:tcW w:w="4593"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合计</w:t>
            </w:r>
          </w:p>
        </w:tc>
        <w:tc>
          <w:tcPr>
            <w:tcW w:w="1149" w:type="dxa"/>
            <w:tcBorders>
              <w:top w:val="nil"/>
              <w:left w:val="nil"/>
              <w:bottom w:val="single" w:color="000000" w:sz="4" w:space="0"/>
              <w:right w:val="single" w:color="000000" w:sz="4" w:space="0"/>
            </w:tcBorders>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149" w:type="dxa"/>
            <w:tcBorders>
              <w:top w:val="nil"/>
              <w:left w:val="nil"/>
              <w:bottom w:val="single" w:color="000000" w:sz="4" w:space="0"/>
              <w:right w:val="single" w:color="000000" w:sz="4" w:space="0"/>
            </w:tcBorders>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156" w:type="dxa"/>
            <w:tcBorders>
              <w:top w:val="nil"/>
              <w:left w:val="nil"/>
              <w:bottom w:val="single" w:color="000000" w:sz="4" w:space="0"/>
              <w:right w:val="single" w:color="000000" w:sz="4" w:space="0"/>
            </w:tcBorders>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r>
      <w:tr>
        <w:tblPrEx>
          <w:tblCellMar>
            <w:top w:w="0" w:type="dxa"/>
            <w:left w:w="108" w:type="dxa"/>
            <w:bottom w:w="0" w:type="dxa"/>
            <w:right w:w="108" w:type="dxa"/>
          </w:tblCellMar>
        </w:tblPrEx>
        <w:trPr>
          <w:gridAfter w:val="1"/>
          <w:wAfter w:w="9" w:type="dxa"/>
          <w:trHeight w:val="308" w:hRule="atLeast"/>
        </w:trPr>
        <w:tc>
          <w:tcPr>
            <w:tcW w:w="75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3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149" w:type="dxa"/>
            <w:tcBorders>
              <w:top w:val="nil"/>
              <w:left w:val="nil"/>
              <w:bottom w:val="single" w:color="000000" w:sz="4" w:space="0"/>
              <w:right w:val="single" w:color="000000" w:sz="4" w:space="0"/>
            </w:tcBorders>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149" w:type="dxa"/>
            <w:tcBorders>
              <w:top w:val="nil"/>
              <w:left w:val="nil"/>
              <w:bottom w:val="single" w:color="000000" w:sz="4" w:space="0"/>
              <w:right w:val="single" w:color="000000" w:sz="4" w:space="0"/>
            </w:tcBorders>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156" w:type="dxa"/>
            <w:tcBorders>
              <w:top w:val="nil"/>
              <w:left w:val="nil"/>
              <w:bottom w:val="single" w:color="000000" w:sz="4" w:space="0"/>
              <w:right w:val="single" w:color="000000" w:sz="4" w:space="0"/>
            </w:tcBorders>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r>
      <w:tr>
        <w:tblPrEx>
          <w:tblCellMar>
            <w:top w:w="0" w:type="dxa"/>
            <w:left w:w="108" w:type="dxa"/>
            <w:bottom w:w="0" w:type="dxa"/>
            <w:right w:w="108" w:type="dxa"/>
          </w:tblCellMar>
        </w:tblPrEx>
        <w:trPr>
          <w:gridAfter w:val="1"/>
          <w:wAfter w:w="9" w:type="dxa"/>
          <w:trHeight w:val="308" w:hRule="atLeast"/>
        </w:trPr>
        <w:tc>
          <w:tcPr>
            <w:tcW w:w="75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3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149" w:type="dxa"/>
            <w:tcBorders>
              <w:top w:val="nil"/>
              <w:left w:val="nil"/>
              <w:bottom w:val="single" w:color="000000" w:sz="4" w:space="0"/>
              <w:right w:val="single" w:color="000000" w:sz="4" w:space="0"/>
            </w:tcBorders>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149" w:type="dxa"/>
            <w:tcBorders>
              <w:top w:val="nil"/>
              <w:left w:val="nil"/>
              <w:bottom w:val="single" w:color="000000" w:sz="4" w:space="0"/>
              <w:right w:val="single" w:color="000000" w:sz="4" w:space="0"/>
            </w:tcBorders>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156" w:type="dxa"/>
            <w:tcBorders>
              <w:top w:val="nil"/>
              <w:left w:val="nil"/>
              <w:bottom w:val="single" w:color="000000" w:sz="4" w:space="0"/>
              <w:right w:val="single" w:color="000000" w:sz="4" w:space="0"/>
            </w:tcBorders>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r>
      <w:tr>
        <w:tblPrEx>
          <w:tblCellMar>
            <w:top w:w="0" w:type="dxa"/>
            <w:left w:w="108" w:type="dxa"/>
            <w:bottom w:w="0" w:type="dxa"/>
            <w:right w:w="108" w:type="dxa"/>
          </w:tblCellMar>
        </w:tblPrEx>
        <w:trPr>
          <w:gridAfter w:val="1"/>
          <w:wAfter w:w="9" w:type="dxa"/>
          <w:trHeight w:val="308" w:hRule="atLeast"/>
        </w:trPr>
        <w:tc>
          <w:tcPr>
            <w:tcW w:w="75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23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149" w:type="dxa"/>
            <w:tcBorders>
              <w:top w:val="nil"/>
              <w:left w:val="nil"/>
              <w:bottom w:val="single" w:color="000000" w:sz="4" w:space="0"/>
              <w:right w:val="single" w:color="000000" w:sz="4" w:space="0"/>
            </w:tcBorders>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149" w:type="dxa"/>
            <w:tcBorders>
              <w:top w:val="nil"/>
              <w:left w:val="nil"/>
              <w:bottom w:val="single" w:color="000000" w:sz="4" w:space="0"/>
              <w:right w:val="single" w:color="000000" w:sz="4" w:space="0"/>
            </w:tcBorders>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c>
          <w:tcPr>
            <w:tcW w:w="1156" w:type="dxa"/>
            <w:tcBorders>
              <w:top w:val="nil"/>
              <w:left w:val="nil"/>
              <w:bottom w:val="single" w:color="000000" w:sz="4" w:space="0"/>
              <w:right w:val="single" w:color="000000" w:sz="4" w:space="0"/>
            </w:tcBorders>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w:t>
            </w:r>
          </w:p>
        </w:tc>
      </w:tr>
      <w:tr>
        <w:tblPrEx>
          <w:tblCellMar>
            <w:top w:w="0" w:type="dxa"/>
            <w:left w:w="108" w:type="dxa"/>
            <w:bottom w:w="0" w:type="dxa"/>
            <w:right w:w="108" w:type="dxa"/>
          </w:tblCellMar>
        </w:tblPrEx>
        <w:trPr>
          <w:gridAfter w:val="1"/>
          <w:wAfter w:w="9" w:type="dxa"/>
          <w:trHeight w:val="308" w:hRule="atLeast"/>
        </w:trPr>
        <w:tc>
          <w:tcPr>
            <w:tcW w:w="14885" w:type="dxa"/>
            <w:gridSpan w:val="7"/>
            <w:tcBorders>
              <w:top w:val="nil"/>
              <w:left w:val="nil"/>
              <w:bottom w:val="nil"/>
              <w:right w:val="nil"/>
            </w:tcBorders>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2"/>
                <w:szCs w:val="22"/>
                <w:u w:val="none"/>
                <w:lang w:val="en-US" w:eastAsia="zh-CN" w:bidi="ar"/>
              </w:rPr>
              <w:t>备注：淮南市财政局（本级）没有国有资本经营预算财政拨款安排的支出，故本表无数据。</w:t>
            </w:r>
          </w:p>
        </w:tc>
      </w:tr>
    </w:tbl>
    <w:p>
      <w:pPr>
        <w:keepNext w:val="0"/>
        <w:keepLines w:val="0"/>
        <w:pageBreakBefore w:val="0"/>
        <w:spacing w:line="240" w:lineRule="atLeast"/>
        <w:rPr>
          <w:rFonts w:hint="eastAsia" w:ascii="黑体" w:hAnsi="黑体" w:eastAsia="黑体"/>
          <w:szCs w:val="32"/>
        </w:rPr>
        <w:sectPr>
          <w:pgSz w:w="16838" w:h="11906"/>
          <w:pgMar w:top="1440" w:right="1080" w:bottom="1440" w:left="1080" w:header="0" w:footer="1588" w:gutter="0"/>
          <w:cols w:space="1701" w:num="1"/>
        </w:sectPr>
      </w:pPr>
    </w:p>
    <w:p>
      <w:pPr>
        <w:rPr>
          <w:rFonts w:hint="eastAsia" w:ascii="黑体" w:hAnsi="黑体" w:eastAsia="黑体"/>
          <w:szCs w:val="32"/>
        </w:rPr>
      </w:pPr>
    </w:p>
    <w:p>
      <w:pPr>
        <w:ind w:firstLine="628"/>
        <w:rPr>
          <w:rFonts w:hint="eastAsia" w:ascii="黑体" w:hAnsi="黑体" w:eastAsia="黑体"/>
          <w:szCs w:val="32"/>
        </w:rPr>
      </w:pPr>
      <w:r>
        <w:rPr>
          <w:rFonts w:hint="eastAsia" w:ascii="黑体" w:hAnsi="黑体" w:eastAsia="黑体"/>
          <w:szCs w:val="32"/>
        </w:rPr>
        <w:t>第三部分 淮南市</w:t>
      </w:r>
      <w:r>
        <w:rPr>
          <w:rFonts w:hint="eastAsia" w:ascii="黑体" w:hAnsi="黑体" w:eastAsia="黑体"/>
          <w:szCs w:val="32"/>
          <w:lang w:eastAsia="zh-CN"/>
        </w:rPr>
        <w:t>财政局（本级）</w:t>
      </w:r>
      <w:r>
        <w:rPr>
          <w:rFonts w:hint="eastAsia" w:ascii="黑体" w:hAnsi="黑体" w:eastAsia="黑体"/>
          <w:szCs w:val="32"/>
        </w:rPr>
        <w:t>2020年度决算情况说明</w:t>
      </w:r>
    </w:p>
    <w:p>
      <w:pPr>
        <w:ind w:firstLine="628"/>
        <w:rPr>
          <w:rFonts w:hint="eastAsia" w:ascii="黑体" w:hAnsi="黑体" w:eastAsia="黑体"/>
          <w:szCs w:val="32"/>
        </w:rPr>
      </w:pPr>
      <w:r>
        <w:rPr>
          <w:rFonts w:hint="eastAsia" w:ascii="黑体" w:hAnsi="黑体" w:eastAsia="黑体"/>
          <w:szCs w:val="32"/>
        </w:rPr>
        <w:t>一、收入支出决算总体情况说明</w:t>
      </w:r>
    </w:p>
    <w:p>
      <w:pPr>
        <w:keepNext w:val="0"/>
        <w:keepLines w:val="0"/>
        <w:pageBreakBefore w:val="0"/>
        <w:spacing w:line="560" w:lineRule="exact"/>
        <w:ind w:firstLine="628"/>
        <w:rPr>
          <w:rFonts w:ascii="仿宋_GB2312" w:hAnsi="仿宋" w:eastAsia="仿宋_GB2312"/>
          <w:szCs w:val="32"/>
          <w:lang w:val="en-US" w:eastAsia="zh-CN"/>
        </w:rPr>
      </w:pPr>
      <w:r>
        <w:rPr>
          <w:rFonts w:hint="eastAsia" w:ascii="仿宋_GB2312" w:hAnsi="仿宋"/>
          <w:szCs w:val="32"/>
        </w:rPr>
        <w:t>2020年度收入总计</w:t>
      </w:r>
      <w:r>
        <w:rPr>
          <w:rFonts w:hint="eastAsia" w:ascii="仿宋_GB2312" w:hAnsi="仿宋"/>
          <w:szCs w:val="32"/>
          <w:lang w:val="en-US" w:eastAsia="zh-CN"/>
        </w:rPr>
        <w:t>2659.74</w:t>
      </w:r>
      <w:r>
        <w:rPr>
          <w:rFonts w:hint="eastAsia" w:ascii="仿宋_GB2312" w:hAnsi="仿宋"/>
          <w:szCs w:val="32"/>
        </w:rPr>
        <w:t>万元（含使用非财政拨款结转结余和年初结转结余）、支出总计</w:t>
      </w:r>
      <w:r>
        <w:rPr>
          <w:rFonts w:hint="eastAsia" w:ascii="仿宋_GB2312" w:hAnsi="仿宋"/>
          <w:szCs w:val="32"/>
          <w:lang w:val="en-US" w:eastAsia="zh-CN"/>
        </w:rPr>
        <w:t>2659.74</w:t>
      </w:r>
      <w:r>
        <w:rPr>
          <w:rFonts w:hint="eastAsia" w:ascii="仿宋_GB2312" w:hAnsi="仿宋"/>
          <w:szCs w:val="32"/>
        </w:rPr>
        <w:t>万元（含结余分配和年末结转结余）。与2019年相比，收、支总计各减少</w:t>
      </w:r>
      <w:r>
        <w:rPr>
          <w:rFonts w:hint="eastAsia" w:ascii="仿宋_GB2312" w:hAnsi="仿宋"/>
          <w:szCs w:val="32"/>
          <w:lang w:val="en-US" w:eastAsia="zh-CN"/>
        </w:rPr>
        <w:t>424.2</w:t>
      </w:r>
      <w:r>
        <w:rPr>
          <w:rFonts w:hint="eastAsia" w:ascii="仿宋_GB2312" w:hAnsi="仿宋"/>
          <w:szCs w:val="32"/>
        </w:rPr>
        <w:t>万元，下降</w:t>
      </w:r>
      <w:r>
        <w:rPr>
          <w:rFonts w:hint="eastAsia" w:ascii="仿宋_GB2312" w:hAnsi="仿宋"/>
          <w:szCs w:val="32"/>
          <w:lang w:val="en-US" w:eastAsia="zh-CN"/>
        </w:rPr>
        <w:t>15.96</w:t>
      </w:r>
      <w:r>
        <w:rPr>
          <w:rFonts w:hint="eastAsia" w:ascii="仿宋_GB2312" w:hAnsi="仿宋"/>
          <w:szCs w:val="32"/>
        </w:rPr>
        <w:t>%，主要原因</w:t>
      </w:r>
      <w:r>
        <w:rPr>
          <w:rFonts w:hint="eastAsia" w:ascii="仿宋_GB2312" w:hAnsi="仿宋"/>
          <w:szCs w:val="32"/>
          <w:lang w:eastAsia="zh-CN"/>
        </w:rPr>
        <w:t>：</w:t>
      </w:r>
      <w:r>
        <w:rPr>
          <w:rFonts w:hint="eastAsia" w:ascii="仿宋_GB2312" w:hAnsi="仿宋"/>
          <w:szCs w:val="32"/>
        </w:rPr>
        <w:t>一</w:t>
      </w:r>
      <w:r>
        <w:rPr>
          <w:rFonts w:hint="eastAsia" w:ascii="仿宋_GB2312" w:hAnsi="仿宋"/>
          <w:szCs w:val="32"/>
          <w:lang w:eastAsia="zh-CN"/>
        </w:rPr>
        <w:t>是</w:t>
      </w:r>
      <w:r>
        <w:rPr>
          <w:rFonts w:hint="eastAsia" w:ascii="仿宋_GB2312" w:hAnsi="仿宋"/>
          <w:szCs w:val="32"/>
          <w:lang w:val="en-US" w:eastAsia="zh-CN"/>
        </w:rPr>
        <w:t>2020年度在职及离退休人员一次性奖劢收支减少；</w:t>
      </w:r>
      <w:r>
        <w:rPr>
          <w:rFonts w:hint="eastAsia" w:ascii="仿宋_GB2312" w:hAnsi="仿宋"/>
          <w:szCs w:val="32"/>
        </w:rPr>
        <w:t>二是</w:t>
      </w:r>
      <w:r>
        <w:rPr>
          <w:rFonts w:hint="eastAsia" w:ascii="仿宋_GB2312" w:hAnsi="仿宋"/>
          <w:szCs w:val="32"/>
          <w:lang w:val="en-US" w:eastAsia="zh-CN"/>
        </w:rPr>
        <w:t>2020年度未发生抚恤金收支，而2019年度抚恤金收支35万元；</w:t>
      </w:r>
      <w:r>
        <w:rPr>
          <w:rFonts w:hint="eastAsia" w:ascii="仿宋_GB2312" w:hAnsi="仿宋"/>
          <w:szCs w:val="32"/>
          <w:lang w:eastAsia="zh-CN"/>
        </w:rPr>
        <w:t>三是</w:t>
      </w:r>
      <w:r>
        <w:rPr>
          <w:rFonts w:hint="eastAsia" w:ascii="仿宋_GB2312" w:hAnsi="仿宋"/>
          <w:szCs w:val="32"/>
          <w:lang w:val="en-US" w:eastAsia="zh-CN"/>
        </w:rPr>
        <w:t>2019年度有一次性项目资产管理信息系统升级及地方政府债务培训支出；四是2019年年初结转结余资金当年列支较大。</w:t>
      </w:r>
    </w:p>
    <w:p>
      <w:pPr>
        <w:ind w:firstLine="628"/>
        <w:rPr>
          <w:rFonts w:hint="eastAsia" w:ascii="黑体" w:hAnsi="仿宋" w:eastAsia="黑体"/>
          <w:szCs w:val="32"/>
        </w:rPr>
      </w:pPr>
      <w:r>
        <w:rPr>
          <w:rFonts w:hint="eastAsia" w:ascii="黑体" w:hAnsi="仿宋" w:eastAsia="黑体"/>
          <w:szCs w:val="32"/>
        </w:rPr>
        <w:t>二、收入决算情况说明</w:t>
      </w:r>
    </w:p>
    <w:p>
      <w:pPr>
        <w:ind w:firstLine="628"/>
        <w:rPr>
          <w:rFonts w:hint="eastAsia" w:ascii="仿宋_GB2312" w:hAnsi="仿宋"/>
          <w:szCs w:val="32"/>
        </w:rPr>
      </w:pPr>
      <w:r>
        <w:rPr>
          <w:rFonts w:hint="eastAsia" w:ascii="仿宋_GB2312" w:hAnsi="仿宋"/>
          <w:szCs w:val="32"/>
        </w:rPr>
        <w:t>2020年度收入合计</w:t>
      </w:r>
      <w:r>
        <w:rPr>
          <w:rFonts w:hint="eastAsia" w:ascii="仿宋_GB2312" w:hAnsi="仿宋"/>
          <w:szCs w:val="32"/>
          <w:lang w:val="en-US" w:eastAsia="zh-CN"/>
        </w:rPr>
        <w:t>2347.37</w:t>
      </w:r>
      <w:r>
        <w:rPr>
          <w:rFonts w:hint="eastAsia" w:ascii="仿宋_GB2312" w:hAnsi="仿宋"/>
          <w:szCs w:val="32"/>
        </w:rPr>
        <w:t>万元，其中：财政拨款收入</w:t>
      </w:r>
      <w:r>
        <w:rPr>
          <w:rFonts w:hint="eastAsia" w:ascii="仿宋_GB2312" w:hAnsi="仿宋"/>
          <w:szCs w:val="32"/>
          <w:lang w:val="en-US" w:eastAsia="zh-CN"/>
        </w:rPr>
        <w:t>2329.44</w:t>
      </w:r>
      <w:r>
        <w:rPr>
          <w:rFonts w:hint="eastAsia" w:ascii="仿宋_GB2312" w:hAnsi="仿宋"/>
          <w:szCs w:val="32"/>
        </w:rPr>
        <w:t>万元，占</w:t>
      </w:r>
      <w:r>
        <w:rPr>
          <w:rFonts w:hint="eastAsia" w:ascii="仿宋_GB2312" w:hAnsi="仿宋"/>
          <w:szCs w:val="32"/>
          <w:lang w:val="en-US" w:eastAsia="zh-CN"/>
        </w:rPr>
        <w:t>99.24</w:t>
      </w:r>
      <w:r>
        <w:rPr>
          <w:rFonts w:hint="eastAsia" w:ascii="仿宋_GB2312" w:hAnsi="仿宋"/>
          <w:szCs w:val="32"/>
        </w:rPr>
        <w:t>%；事业收入</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0.00</w:t>
      </w:r>
      <w:r>
        <w:rPr>
          <w:rFonts w:hint="eastAsia" w:ascii="仿宋_GB2312" w:hAnsi="仿宋"/>
          <w:szCs w:val="32"/>
        </w:rPr>
        <w:t>%；经营收入</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0.00</w:t>
      </w:r>
      <w:r>
        <w:rPr>
          <w:rFonts w:hint="eastAsia" w:ascii="仿宋_GB2312" w:hAnsi="仿宋"/>
          <w:szCs w:val="32"/>
        </w:rPr>
        <w:t>%；其他收入</w:t>
      </w:r>
      <w:r>
        <w:rPr>
          <w:rFonts w:hint="eastAsia" w:ascii="仿宋_GB2312" w:hAnsi="仿宋"/>
          <w:szCs w:val="32"/>
          <w:lang w:val="en-US" w:eastAsia="zh-CN"/>
        </w:rPr>
        <w:t>17.94</w:t>
      </w:r>
      <w:r>
        <w:rPr>
          <w:rFonts w:hint="eastAsia" w:ascii="仿宋_GB2312" w:hAnsi="仿宋"/>
          <w:szCs w:val="32"/>
        </w:rPr>
        <w:t>万元，占</w:t>
      </w:r>
      <w:r>
        <w:rPr>
          <w:rFonts w:hint="eastAsia" w:ascii="仿宋_GB2312" w:hAnsi="仿宋"/>
          <w:szCs w:val="32"/>
          <w:lang w:val="en-US" w:eastAsia="zh-CN"/>
        </w:rPr>
        <w:t>0.76</w:t>
      </w:r>
      <w:r>
        <w:rPr>
          <w:rFonts w:hint="eastAsia" w:ascii="仿宋_GB2312" w:hAnsi="仿宋"/>
          <w:szCs w:val="32"/>
        </w:rPr>
        <w:t>%。</w:t>
      </w:r>
    </w:p>
    <w:p>
      <w:pPr>
        <w:ind w:firstLine="628"/>
        <w:rPr>
          <w:rFonts w:hint="eastAsia" w:ascii="黑体" w:hAnsi="仿宋" w:eastAsia="黑体"/>
          <w:szCs w:val="32"/>
        </w:rPr>
      </w:pPr>
      <w:r>
        <w:rPr>
          <w:rFonts w:hint="eastAsia" w:ascii="黑体" w:hAnsi="仿宋" w:eastAsia="黑体"/>
          <w:szCs w:val="32"/>
        </w:rPr>
        <w:t>三、支出决算情况说明</w:t>
      </w:r>
    </w:p>
    <w:p>
      <w:pPr>
        <w:ind w:firstLine="628"/>
        <w:rPr>
          <w:rFonts w:hint="eastAsia" w:ascii="仿宋_GB2312" w:hAnsi="仿宋"/>
          <w:szCs w:val="32"/>
        </w:rPr>
      </w:pPr>
      <w:r>
        <w:rPr>
          <w:rFonts w:hint="eastAsia" w:ascii="仿宋_GB2312" w:hAnsi="仿宋"/>
          <w:szCs w:val="32"/>
        </w:rPr>
        <w:t>2020年度支出合计</w:t>
      </w:r>
      <w:r>
        <w:rPr>
          <w:rFonts w:hint="eastAsia" w:ascii="仿宋_GB2312" w:hAnsi="仿宋"/>
          <w:szCs w:val="32"/>
          <w:lang w:val="en-US" w:eastAsia="zh-CN"/>
        </w:rPr>
        <w:t>2473.76</w:t>
      </w:r>
      <w:r>
        <w:rPr>
          <w:rFonts w:hint="eastAsia" w:ascii="仿宋_GB2312" w:hAnsi="仿宋"/>
          <w:szCs w:val="32"/>
        </w:rPr>
        <w:t>万元，其中：基本支出</w:t>
      </w:r>
      <w:r>
        <w:rPr>
          <w:rFonts w:hint="eastAsia" w:ascii="仿宋_GB2312" w:hAnsi="仿宋"/>
          <w:szCs w:val="32"/>
          <w:lang w:val="en-US" w:eastAsia="zh-CN"/>
        </w:rPr>
        <w:t>1643.46</w:t>
      </w:r>
      <w:r>
        <w:rPr>
          <w:rFonts w:hint="eastAsia" w:ascii="仿宋_GB2312" w:hAnsi="仿宋"/>
          <w:szCs w:val="32"/>
        </w:rPr>
        <w:t>万元，占</w:t>
      </w:r>
      <w:r>
        <w:rPr>
          <w:rFonts w:hint="eastAsia" w:ascii="仿宋_GB2312" w:hAnsi="仿宋"/>
          <w:szCs w:val="32"/>
          <w:lang w:val="en-US" w:eastAsia="zh-CN"/>
        </w:rPr>
        <w:t>66.44</w:t>
      </w:r>
      <w:r>
        <w:rPr>
          <w:rFonts w:hint="eastAsia" w:ascii="仿宋_GB2312" w:hAnsi="仿宋"/>
          <w:szCs w:val="32"/>
        </w:rPr>
        <w:t>%；项目支出</w:t>
      </w:r>
      <w:r>
        <w:rPr>
          <w:rFonts w:hint="eastAsia" w:ascii="仿宋_GB2312" w:hAnsi="仿宋"/>
          <w:szCs w:val="32"/>
          <w:lang w:val="en-US" w:eastAsia="zh-CN"/>
        </w:rPr>
        <w:t>830.3</w:t>
      </w:r>
      <w:r>
        <w:rPr>
          <w:rFonts w:hint="eastAsia" w:ascii="仿宋_GB2312" w:hAnsi="仿宋"/>
          <w:szCs w:val="32"/>
        </w:rPr>
        <w:t>万元，占</w:t>
      </w:r>
      <w:r>
        <w:rPr>
          <w:rFonts w:hint="eastAsia" w:ascii="仿宋_GB2312" w:hAnsi="仿宋"/>
          <w:szCs w:val="32"/>
          <w:lang w:val="en-US" w:eastAsia="zh-CN"/>
        </w:rPr>
        <w:t>33.56</w:t>
      </w:r>
      <w:r>
        <w:rPr>
          <w:rFonts w:hint="eastAsia" w:ascii="仿宋_GB2312" w:hAnsi="仿宋"/>
          <w:szCs w:val="32"/>
        </w:rPr>
        <w:t>%；经营支出</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0.00</w:t>
      </w:r>
      <w:r>
        <w:rPr>
          <w:rFonts w:hint="eastAsia" w:ascii="仿宋_GB2312" w:hAnsi="仿宋"/>
          <w:szCs w:val="32"/>
        </w:rPr>
        <w:t>%。</w:t>
      </w:r>
    </w:p>
    <w:p>
      <w:pPr>
        <w:ind w:firstLine="628"/>
        <w:rPr>
          <w:rFonts w:hint="eastAsia" w:ascii="黑体" w:hAnsi="仿宋" w:eastAsia="黑体"/>
          <w:szCs w:val="32"/>
        </w:rPr>
      </w:pPr>
      <w:r>
        <w:rPr>
          <w:rFonts w:hint="eastAsia" w:ascii="黑体" w:hAnsi="仿宋" w:eastAsia="黑体"/>
          <w:szCs w:val="32"/>
        </w:rPr>
        <w:t>四、</w:t>
      </w:r>
      <w:r>
        <w:rPr>
          <w:rFonts w:hint="eastAsia" w:ascii="黑体" w:eastAsia="黑体"/>
          <w:szCs w:val="32"/>
        </w:rPr>
        <w:t>财政拨款收入支出决算总体情况说明</w:t>
      </w:r>
    </w:p>
    <w:p>
      <w:pPr>
        <w:keepNext w:val="0"/>
        <w:keepLines w:val="0"/>
        <w:pageBreakBefore w:val="0"/>
        <w:spacing w:line="560" w:lineRule="exact"/>
        <w:ind w:firstLine="628"/>
        <w:rPr>
          <w:rFonts w:hint="eastAsia" w:ascii="仿宋_GB2312" w:hAnsi="仿宋"/>
          <w:szCs w:val="32"/>
        </w:rPr>
      </w:pPr>
      <w:r>
        <w:rPr>
          <w:rFonts w:hint="eastAsia" w:ascii="仿宋_GB2312" w:hAnsi="仿宋"/>
          <w:szCs w:val="32"/>
        </w:rPr>
        <w:t>2020年度财政拨款收入总计</w:t>
      </w:r>
      <w:r>
        <w:rPr>
          <w:rFonts w:hint="eastAsia" w:ascii="仿宋_GB2312" w:hAnsi="仿宋"/>
          <w:szCs w:val="32"/>
          <w:lang w:val="en-US" w:eastAsia="zh-CN"/>
        </w:rPr>
        <w:t>2499.82</w:t>
      </w:r>
      <w:r>
        <w:rPr>
          <w:rFonts w:hint="eastAsia" w:ascii="仿宋_GB2312" w:hAnsi="仿宋"/>
          <w:szCs w:val="32"/>
        </w:rPr>
        <w:t>万元（含年初财政拨款结转结余），支出总计</w:t>
      </w:r>
      <w:r>
        <w:rPr>
          <w:rFonts w:hint="eastAsia" w:ascii="仿宋_GB2312" w:hAnsi="仿宋"/>
          <w:szCs w:val="32"/>
          <w:lang w:val="en-US" w:eastAsia="zh-CN"/>
        </w:rPr>
        <w:t>2499.82</w:t>
      </w:r>
      <w:r>
        <w:rPr>
          <w:rFonts w:hint="eastAsia" w:ascii="仿宋_GB2312" w:hAnsi="仿宋"/>
          <w:szCs w:val="32"/>
        </w:rPr>
        <w:t>万元（含年末财政拨款结转和结余）。与2019年相比，财政拨款收、支总计各减少</w:t>
      </w:r>
      <w:r>
        <w:rPr>
          <w:rFonts w:hint="eastAsia" w:ascii="仿宋_GB2312" w:hAnsi="仿宋"/>
          <w:szCs w:val="32"/>
          <w:lang w:val="en-US" w:eastAsia="zh-CN"/>
        </w:rPr>
        <w:t>330.01</w:t>
      </w:r>
      <w:r>
        <w:rPr>
          <w:rFonts w:hint="eastAsia" w:ascii="仿宋_GB2312" w:hAnsi="仿宋"/>
          <w:szCs w:val="32"/>
        </w:rPr>
        <w:t>万元，下降</w:t>
      </w:r>
      <w:r>
        <w:rPr>
          <w:rFonts w:hint="eastAsia" w:ascii="仿宋_GB2312" w:hAnsi="仿宋"/>
          <w:szCs w:val="32"/>
          <w:lang w:val="en-US" w:eastAsia="zh-CN"/>
        </w:rPr>
        <w:t>11.66</w:t>
      </w:r>
      <w:r>
        <w:rPr>
          <w:rFonts w:hint="eastAsia" w:ascii="仿宋_GB2312" w:hAnsi="仿宋"/>
          <w:szCs w:val="32"/>
        </w:rPr>
        <w:t>%，主要原因</w:t>
      </w:r>
      <w:r>
        <w:rPr>
          <w:rFonts w:hint="eastAsia" w:ascii="仿宋_GB2312" w:hAnsi="仿宋"/>
          <w:szCs w:val="32"/>
          <w:lang w:eastAsia="zh-CN"/>
        </w:rPr>
        <w:t>：</w:t>
      </w:r>
      <w:r>
        <w:rPr>
          <w:rFonts w:hint="eastAsia" w:ascii="仿宋_GB2312" w:hAnsi="仿宋"/>
          <w:szCs w:val="32"/>
        </w:rPr>
        <w:t>一</w:t>
      </w:r>
      <w:r>
        <w:rPr>
          <w:rFonts w:hint="eastAsia" w:ascii="仿宋_GB2312" w:hAnsi="仿宋"/>
          <w:szCs w:val="32"/>
          <w:lang w:eastAsia="zh-CN"/>
        </w:rPr>
        <w:t>是</w:t>
      </w:r>
      <w:r>
        <w:rPr>
          <w:rFonts w:hint="eastAsia" w:ascii="仿宋_GB2312" w:hAnsi="仿宋"/>
          <w:szCs w:val="32"/>
          <w:lang w:val="en-US" w:eastAsia="zh-CN"/>
        </w:rPr>
        <w:t>2020年度在职及离退休人员一次性奖劢收支减少；</w:t>
      </w:r>
      <w:r>
        <w:rPr>
          <w:rFonts w:hint="eastAsia" w:ascii="仿宋_GB2312" w:hAnsi="仿宋"/>
          <w:szCs w:val="32"/>
        </w:rPr>
        <w:t>二是</w:t>
      </w:r>
      <w:r>
        <w:rPr>
          <w:rFonts w:hint="eastAsia" w:ascii="仿宋_GB2312" w:hAnsi="仿宋"/>
          <w:szCs w:val="32"/>
          <w:lang w:val="en-US" w:eastAsia="zh-CN"/>
        </w:rPr>
        <w:t>2020年度未发生抚恤金收支，而2019年度抚恤金收支35万元；</w:t>
      </w:r>
      <w:r>
        <w:rPr>
          <w:rFonts w:hint="eastAsia" w:ascii="仿宋_GB2312" w:hAnsi="仿宋"/>
          <w:szCs w:val="32"/>
          <w:lang w:eastAsia="zh-CN"/>
        </w:rPr>
        <w:t>三是</w:t>
      </w:r>
      <w:r>
        <w:rPr>
          <w:rFonts w:hint="eastAsia" w:ascii="仿宋_GB2312" w:hAnsi="仿宋"/>
          <w:szCs w:val="32"/>
          <w:lang w:val="en-US" w:eastAsia="zh-CN"/>
        </w:rPr>
        <w:t>2019年度有一次性项目资产管理信息系统升级及地方政府债务培训支出</w:t>
      </w:r>
      <w:r>
        <w:rPr>
          <w:rFonts w:hint="eastAsia" w:ascii="仿宋_GB2312" w:hAnsi="仿宋"/>
          <w:szCs w:val="32"/>
        </w:rPr>
        <w:t>。</w:t>
      </w:r>
      <w:r>
        <w:rPr>
          <w:rFonts w:hint="eastAsia" w:ascii="仿宋_GB2312" w:hAnsi="仿宋"/>
          <w:szCs w:val="32"/>
          <w:lang w:val="en-US" w:eastAsia="zh-CN"/>
        </w:rPr>
        <w:t>四是2019年度财政拨款年初结转结余资金当年列支。</w:t>
      </w:r>
    </w:p>
    <w:p>
      <w:pPr>
        <w:ind w:firstLine="628"/>
        <w:rPr>
          <w:rFonts w:hint="eastAsia" w:ascii="黑体" w:eastAsia="黑体"/>
          <w:szCs w:val="32"/>
        </w:rPr>
      </w:pPr>
      <w:r>
        <w:rPr>
          <w:rFonts w:hint="eastAsia" w:ascii="黑体" w:eastAsia="黑体"/>
          <w:szCs w:val="32"/>
        </w:rPr>
        <w:t>五、一般公共预算财政拨款支出决算情况说明</w:t>
      </w:r>
    </w:p>
    <w:p>
      <w:pPr>
        <w:ind w:firstLine="628"/>
        <w:rPr>
          <w:rFonts w:hint="eastAsia" w:ascii="仿宋_GB2312" w:hAnsi="仿宋"/>
          <w:b/>
          <w:bCs/>
          <w:szCs w:val="32"/>
        </w:rPr>
      </w:pPr>
      <w:r>
        <w:rPr>
          <w:rFonts w:hint="eastAsia" w:ascii="仿宋_GB2312" w:hAnsi="仿宋"/>
          <w:b/>
          <w:bCs/>
          <w:szCs w:val="32"/>
        </w:rPr>
        <w:t>（一）一般公共预算财政拨款支出决算总体情况。</w:t>
      </w:r>
    </w:p>
    <w:p>
      <w:pPr>
        <w:keepNext w:val="0"/>
        <w:keepLines w:val="0"/>
        <w:pageBreakBefore w:val="0"/>
        <w:spacing w:line="560" w:lineRule="exact"/>
        <w:ind w:firstLine="628"/>
        <w:rPr>
          <w:rFonts w:hint="eastAsia" w:ascii="仿宋_GB2312" w:hAnsi="仿宋"/>
          <w:szCs w:val="32"/>
        </w:rPr>
      </w:pPr>
      <w:r>
        <w:rPr>
          <w:rFonts w:hint="eastAsia" w:ascii="仿宋_GB2312" w:hAnsi="仿宋"/>
          <w:szCs w:val="32"/>
        </w:rPr>
        <w:t>2020年度一般公共预算财政拨款支出</w:t>
      </w:r>
      <w:r>
        <w:rPr>
          <w:rFonts w:hint="eastAsia" w:ascii="仿宋_GB2312" w:hAnsi="仿宋"/>
          <w:szCs w:val="32"/>
          <w:lang w:val="en-US" w:eastAsia="zh-CN"/>
        </w:rPr>
        <w:t>2467.98</w:t>
      </w:r>
      <w:r>
        <w:rPr>
          <w:rFonts w:hint="eastAsia" w:ascii="仿宋_GB2312" w:hAnsi="仿宋"/>
          <w:szCs w:val="32"/>
        </w:rPr>
        <w:t>万元，占本年支出的</w:t>
      </w:r>
      <w:r>
        <w:rPr>
          <w:rFonts w:hint="eastAsia" w:ascii="仿宋_GB2312" w:hAnsi="仿宋"/>
          <w:szCs w:val="32"/>
          <w:lang w:val="en-US" w:eastAsia="zh-CN"/>
        </w:rPr>
        <w:t>99.8</w:t>
      </w:r>
      <w:r>
        <w:rPr>
          <w:rFonts w:hint="eastAsia" w:ascii="仿宋_GB2312" w:hAnsi="仿宋"/>
          <w:szCs w:val="32"/>
        </w:rPr>
        <w:t>%。与2019年相比，一般公共预算财政拨款支出减少</w:t>
      </w:r>
      <w:r>
        <w:rPr>
          <w:rFonts w:hint="eastAsia" w:ascii="仿宋_GB2312" w:hAnsi="仿宋"/>
          <w:szCs w:val="32"/>
          <w:lang w:val="en-US" w:eastAsia="zh-CN"/>
        </w:rPr>
        <w:t>171.83</w:t>
      </w:r>
      <w:r>
        <w:rPr>
          <w:rFonts w:hint="eastAsia" w:ascii="仿宋_GB2312" w:hAnsi="仿宋"/>
          <w:szCs w:val="32"/>
        </w:rPr>
        <w:t>万元，下降</w:t>
      </w:r>
      <w:r>
        <w:rPr>
          <w:rFonts w:hint="eastAsia" w:ascii="仿宋_GB2312" w:hAnsi="仿宋"/>
          <w:szCs w:val="32"/>
          <w:lang w:val="en-US" w:eastAsia="zh-CN"/>
        </w:rPr>
        <w:t>6.51</w:t>
      </w:r>
      <w:r>
        <w:rPr>
          <w:rFonts w:hint="eastAsia" w:ascii="仿宋_GB2312" w:hAnsi="仿宋"/>
          <w:szCs w:val="32"/>
        </w:rPr>
        <w:t>%。主要原因</w:t>
      </w:r>
      <w:r>
        <w:rPr>
          <w:rFonts w:hint="eastAsia" w:ascii="仿宋_GB2312" w:hAnsi="仿宋"/>
          <w:szCs w:val="32"/>
          <w:lang w:eastAsia="zh-CN"/>
        </w:rPr>
        <w:t>：</w:t>
      </w:r>
      <w:r>
        <w:rPr>
          <w:rFonts w:hint="eastAsia" w:ascii="仿宋_GB2312" w:hAnsi="仿宋"/>
          <w:color w:val="000000"/>
          <w:szCs w:val="32"/>
        </w:rPr>
        <w:t>一</w:t>
      </w:r>
      <w:r>
        <w:rPr>
          <w:rFonts w:hint="eastAsia" w:ascii="仿宋_GB2312" w:hAnsi="仿宋"/>
          <w:color w:val="000000"/>
          <w:szCs w:val="32"/>
          <w:lang w:eastAsia="zh-CN"/>
        </w:rPr>
        <w:t>是</w:t>
      </w:r>
      <w:r>
        <w:rPr>
          <w:rFonts w:hint="eastAsia" w:ascii="仿宋_GB2312" w:hAnsi="仿宋"/>
          <w:color w:val="000000"/>
          <w:szCs w:val="32"/>
          <w:lang w:val="en-US" w:eastAsia="zh-CN"/>
        </w:rPr>
        <w:t>2020年度在职及离退休人员一次性奖劢收支减少；</w:t>
      </w:r>
      <w:r>
        <w:rPr>
          <w:rFonts w:hint="eastAsia" w:ascii="仿宋_GB2312" w:hAnsi="仿宋"/>
          <w:color w:val="000000"/>
          <w:szCs w:val="32"/>
        </w:rPr>
        <w:t>二是</w:t>
      </w:r>
      <w:r>
        <w:rPr>
          <w:rFonts w:hint="eastAsia" w:ascii="仿宋_GB2312" w:hAnsi="仿宋"/>
          <w:color w:val="000000"/>
          <w:szCs w:val="32"/>
          <w:lang w:val="en-US" w:eastAsia="zh-CN"/>
        </w:rPr>
        <w:t>2020年度未发生抚恤金收支，而2019年度抚恤金收支35万元；</w:t>
      </w:r>
      <w:r>
        <w:rPr>
          <w:rFonts w:hint="eastAsia" w:ascii="仿宋_GB2312" w:hAnsi="仿宋"/>
          <w:color w:val="000000"/>
          <w:szCs w:val="32"/>
          <w:lang w:eastAsia="zh-CN"/>
        </w:rPr>
        <w:t>三是</w:t>
      </w:r>
      <w:r>
        <w:rPr>
          <w:rFonts w:hint="eastAsia" w:ascii="仿宋_GB2312" w:hAnsi="仿宋"/>
          <w:color w:val="000000"/>
          <w:szCs w:val="32"/>
          <w:lang w:val="en-US" w:eastAsia="zh-CN"/>
        </w:rPr>
        <w:t>2019年度有一次性项目资产管理信息系统升级及地方政府债务培训支出</w:t>
      </w:r>
      <w:r>
        <w:rPr>
          <w:rFonts w:hint="eastAsia" w:ascii="仿宋_GB2312" w:hAnsi="仿宋"/>
          <w:szCs w:val="32"/>
        </w:rPr>
        <w:t>。</w:t>
      </w:r>
    </w:p>
    <w:p>
      <w:pPr>
        <w:ind w:firstLine="628"/>
        <w:rPr>
          <w:rFonts w:hint="eastAsia" w:ascii="仿宋_GB2312" w:hAnsi="仿宋"/>
          <w:b/>
          <w:szCs w:val="32"/>
        </w:rPr>
      </w:pPr>
      <w:r>
        <w:rPr>
          <w:rFonts w:hint="eastAsia" w:ascii="仿宋_GB2312" w:hAnsi="仿宋"/>
          <w:b/>
          <w:szCs w:val="32"/>
        </w:rPr>
        <w:t>（二）一般公共预算财政拨款支出决算结构情况。</w:t>
      </w:r>
    </w:p>
    <w:p>
      <w:pPr>
        <w:keepNext w:val="0"/>
        <w:keepLines w:val="0"/>
        <w:pageBreakBefore w:val="0"/>
        <w:spacing w:line="560" w:lineRule="exact"/>
        <w:ind w:firstLine="628"/>
        <w:rPr>
          <w:rFonts w:ascii="仿宋_GB2312" w:hAnsi="仿宋"/>
          <w:szCs w:val="32"/>
        </w:rPr>
      </w:pPr>
      <w:r>
        <w:rPr>
          <w:rFonts w:hint="eastAsia" w:ascii="仿宋_GB2312" w:hAnsi="仿宋"/>
          <w:szCs w:val="32"/>
        </w:rPr>
        <w:t>2020年度一般公共预算财政拨款支出</w:t>
      </w:r>
      <w:r>
        <w:rPr>
          <w:rFonts w:hint="eastAsia" w:ascii="仿宋_GB2312" w:hAnsi="仿宋"/>
          <w:szCs w:val="32"/>
          <w:lang w:val="en-US" w:eastAsia="zh-CN"/>
        </w:rPr>
        <w:t>2467.98</w:t>
      </w:r>
      <w:r>
        <w:rPr>
          <w:rFonts w:hint="eastAsia" w:ascii="仿宋_GB2312" w:hAnsi="仿宋"/>
          <w:szCs w:val="32"/>
        </w:rPr>
        <w:t>万元，主要用于以下方面：</w:t>
      </w:r>
      <w:r>
        <w:rPr>
          <w:rFonts w:hint="eastAsia" w:ascii="仿宋_GB2312" w:hAnsi="仿宋"/>
          <w:b/>
          <w:szCs w:val="32"/>
        </w:rPr>
        <w:t>一般公共服务（类）</w:t>
      </w:r>
      <w:r>
        <w:rPr>
          <w:rFonts w:hint="eastAsia" w:ascii="仿宋_GB2312" w:hAnsi="仿宋"/>
          <w:szCs w:val="32"/>
        </w:rPr>
        <w:t>支出</w:t>
      </w:r>
      <w:r>
        <w:rPr>
          <w:rFonts w:hint="eastAsia" w:ascii="仿宋_GB2312" w:hAnsi="仿宋"/>
          <w:szCs w:val="32"/>
          <w:lang w:val="en-US" w:eastAsia="zh-CN"/>
        </w:rPr>
        <w:t>2039.52</w:t>
      </w:r>
      <w:r>
        <w:rPr>
          <w:rFonts w:hint="eastAsia" w:ascii="仿宋_GB2312" w:hAnsi="仿宋"/>
          <w:szCs w:val="32"/>
        </w:rPr>
        <w:t>万元，占</w:t>
      </w:r>
      <w:r>
        <w:rPr>
          <w:rFonts w:hint="eastAsia" w:ascii="仿宋_GB2312" w:hAnsi="仿宋"/>
          <w:szCs w:val="32"/>
          <w:lang w:val="en-US" w:eastAsia="zh-CN"/>
        </w:rPr>
        <w:t>82.64</w:t>
      </w:r>
      <w:r>
        <w:rPr>
          <w:rFonts w:hint="eastAsia" w:ascii="仿宋_GB2312" w:hAnsi="仿宋"/>
          <w:szCs w:val="32"/>
        </w:rPr>
        <w:t>%;</w:t>
      </w:r>
      <w:r>
        <w:rPr>
          <w:rFonts w:hint="eastAsia" w:ascii="仿宋_GB2312" w:hAnsi="仿宋"/>
          <w:b/>
          <w:szCs w:val="32"/>
        </w:rPr>
        <w:t>社会保障和就业（类）</w:t>
      </w:r>
      <w:r>
        <w:rPr>
          <w:rFonts w:hint="eastAsia" w:ascii="仿宋_GB2312" w:hAnsi="仿宋"/>
          <w:szCs w:val="32"/>
        </w:rPr>
        <w:t>支出</w:t>
      </w:r>
      <w:r>
        <w:rPr>
          <w:rFonts w:hint="eastAsia" w:ascii="仿宋_GB2312" w:hAnsi="仿宋"/>
          <w:szCs w:val="32"/>
          <w:lang w:val="en-US" w:eastAsia="zh-CN"/>
        </w:rPr>
        <w:t>205.77</w:t>
      </w:r>
      <w:r>
        <w:rPr>
          <w:rFonts w:hint="eastAsia" w:ascii="仿宋_GB2312" w:hAnsi="仿宋"/>
          <w:szCs w:val="32"/>
        </w:rPr>
        <w:t>万元，占</w:t>
      </w:r>
      <w:r>
        <w:rPr>
          <w:rFonts w:hint="eastAsia" w:ascii="仿宋_GB2312" w:hAnsi="仿宋"/>
          <w:szCs w:val="32"/>
          <w:lang w:val="en-US" w:eastAsia="zh-CN"/>
        </w:rPr>
        <w:t>8.34</w:t>
      </w:r>
      <w:r>
        <w:rPr>
          <w:rFonts w:hint="eastAsia" w:ascii="仿宋_GB2312" w:hAnsi="仿宋"/>
          <w:szCs w:val="32"/>
        </w:rPr>
        <w:t>%；</w:t>
      </w:r>
      <w:r>
        <w:rPr>
          <w:rFonts w:hint="eastAsia" w:ascii="仿宋_GB2312" w:hAnsi="仿宋"/>
          <w:b/>
          <w:szCs w:val="32"/>
          <w:lang w:eastAsia="zh-CN"/>
        </w:rPr>
        <w:t>卫生健康</w:t>
      </w:r>
      <w:r>
        <w:rPr>
          <w:rFonts w:hint="eastAsia" w:ascii="仿宋_GB2312" w:hAnsi="仿宋"/>
          <w:b/>
          <w:szCs w:val="32"/>
        </w:rPr>
        <w:t>（类）</w:t>
      </w:r>
      <w:r>
        <w:rPr>
          <w:rFonts w:hint="eastAsia" w:ascii="仿宋_GB2312" w:hAnsi="仿宋"/>
          <w:szCs w:val="32"/>
        </w:rPr>
        <w:t>支出</w:t>
      </w:r>
      <w:r>
        <w:rPr>
          <w:rFonts w:hint="eastAsia" w:ascii="仿宋_GB2312" w:hAnsi="仿宋"/>
          <w:szCs w:val="32"/>
          <w:lang w:val="en-US" w:eastAsia="zh-CN"/>
        </w:rPr>
        <w:t>76.4</w:t>
      </w:r>
      <w:r>
        <w:rPr>
          <w:rFonts w:hint="eastAsia" w:ascii="仿宋_GB2312" w:hAnsi="仿宋"/>
          <w:szCs w:val="32"/>
        </w:rPr>
        <w:t>万元，占</w:t>
      </w:r>
      <w:r>
        <w:rPr>
          <w:rFonts w:hint="eastAsia" w:ascii="仿宋_GB2312" w:hAnsi="仿宋"/>
          <w:szCs w:val="32"/>
          <w:lang w:val="en-US" w:eastAsia="zh-CN"/>
        </w:rPr>
        <w:t>3.09</w:t>
      </w:r>
      <w:r>
        <w:rPr>
          <w:rFonts w:hint="eastAsia" w:ascii="仿宋_GB2312" w:hAnsi="仿宋"/>
          <w:szCs w:val="32"/>
        </w:rPr>
        <w:t>%；</w:t>
      </w:r>
      <w:r>
        <w:rPr>
          <w:rFonts w:hint="eastAsia" w:ascii="仿宋_GB2312" w:hAnsi="仿宋"/>
          <w:b/>
          <w:szCs w:val="32"/>
          <w:lang w:eastAsia="zh-CN"/>
        </w:rPr>
        <w:t>城乡社区</w:t>
      </w:r>
      <w:r>
        <w:rPr>
          <w:rFonts w:hint="eastAsia" w:ascii="仿宋_GB2312" w:hAnsi="仿宋"/>
          <w:b/>
          <w:szCs w:val="32"/>
        </w:rPr>
        <w:t>（类）</w:t>
      </w:r>
      <w:r>
        <w:rPr>
          <w:rFonts w:hint="eastAsia" w:ascii="仿宋_GB2312" w:hAnsi="仿宋"/>
          <w:szCs w:val="32"/>
        </w:rPr>
        <w:t>支出</w:t>
      </w:r>
      <w:r>
        <w:rPr>
          <w:rFonts w:hint="eastAsia" w:ascii="仿宋_GB2312" w:hAnsi="仿宋"/>
          <w:szCs w:val="32"/>
          <w:lang w:val="en-US" w:eastAsia="zh-CN"/>
        </w:rPr>
        <w:t>20万元，占0.81%</w:t>
      </w:r>
      <w:r>
        <w:rPr>
          <w:rFonts w:hint="eastAsia" w:ascii="仿宋_GB2312" w:hAnsi="仿宋"/>
          <w:szCs w:val="32"/>
          <w:lang w:eastAsia="zh-CN"/>
        </w:rPr>
        <w:t>；</w:t>
      </w:r>
      <w:r>
        <w:rPr>
          <w:rFonts w:hint="eastAsia" w:ascii="仿宋_GB2312" w:hAnsi="仿宋"/>
          <w:b/>
          <w:szCs w:val="32"/>
        </w:rPr>
        <w:t>住房保障（类）</w:t>
      </w:r>
      <w:r>
        <w:rPr>
          <w:rFonts w:hint="eastAsia" w:ascii="仿宋_GB2312" w:hAnsi="仿宋"/>
          <w:szCs w:val="32"/>
        </w:rPr>
        <w:t>支出</w:t>
      </w:r>
      <w:r>
        <w:rPr>
          <w:rFonts w:hint="eastAsia" w:ascii="仿宋_GB2312" w:hAnsi="仿宋"/>
          <w:szCs w:val="32"/>
          <w:lang w:val="en-US" w:eastAsia="zh-CN"/>
        </w:rPr>
        <w:t>126.28</w:t>
      </w:r>
      <w:r>
        <w:rPr>
          <w:rFonts w:hint="eastAsia" w:ascii="仿宋_GB2312" w:hAnsi="仿宋"/>
          <w:szCs w:val="32"/>
        </w:rPr>
        <w:t>万元，占</w:t>
      </w:r>
      <w:r>
        <w:rPr>
          <w:rFonts w:hint="eastAsia" w:ascii="仿宋_GB2312" w:hAnsi="仿宋"/>
          <w:szCs w:val="32"/>
          <w:lang w:val="en-US" w:eastAsia="zh-CN"/>
        </w:rPr>
        <w:t>5.12%</w:t>
      </w:r>
      <w:r>
        <w:rPr>
          <w:rFonts w:hint="eastAsia" w:ascii="仿宋_GB2312" w:hAnsi="仿宋"/>
          <w:szCs w:val="32"/>
        </w:rPr>
        <w:t>。</w:t>
      </w:r>
    </w:p>
    <w:p>
      <w:pPr>
        <w:ind w:firstLine="628"/>
        <w:rPr>
          <w:rFonts w:hint="eastAsia" w:ascii="仿宋_GB2312" w:hAnsi="仿宋"/>
          <w:b/>
          <w:bCs/>
          <w:szCs w:val="32"/>
        </w:rPr>
      </w:pPr>
      <w:r>
        <w:rPr>
          <w:rFonts w:hint="eastAsia" w:ascii="仿宋_GB2312" w:hAnsi="仿宋"/>
          <w:b/>
          <w:bCs/>
          <w:szCs w:val="32"/>
        </w:rPr>
        <w:t>（三）一般公共预算财政拨款支出决算具体情况。</w:t>
      </w:r>
    </w:p>
    <w:p>
      <w:pPr>
        <w:ind w:firstLine="628"/>
        <w:rPr>
          <w:rFonts w:hint="eastAsia" w:ascii="仿宋_GB2312" w:hAnsi="仿宋"/>
          <w:szCs w:val="32"/>
        </w:rPr>
      </w:pPr>
      <w:r>
        <w:rPr>
          <w:rFonts w:hint="eastAsia" w:ascii="仿宋_GB2312" w:hAnsi="仿宋"/>
          <w:szCs w:val="32"/>
        </w:rPr>
        <w:t>2020年度一般公共预算财政拨款支出年初预算为</w:t>
      </w:r>
      <w:r>
        <w:rPr>
          <w:rFonts w:hint="eastAsia" w:ascii="仿宋_GB2312" w:hAnsi="仿宋"/>
          <w:szCs w:val="32"/>
          <w:lang w:val="en-US" w:eastAsia="zh-CN"/>
        </w:rPr>
        <w:t>3852.16</w:t>
      </w:r>
      <w:r>
        <w:rPr>
          <w:rFonts w:hint="eastAsia" w:ascii="仿宋_GB2312" w:hAnsi="仿宋"/>
          <w:szCs w:val="32"/>
        </w:rPr>
        <w:t>万元，支出决算为</w:t>
      </w:r>
      <w:r>
        <w:rPr>
          <w:rFonts w:hint="eastAsia" w:ascii="仿宋_GB2312" w:hAnsi="仿宋"/>
          <w:szCs w:val="32"/>
          <w:lang w:val="en-US" w:eastAsia="zh-CN"/>
        </w:rPr>
        <w:t>2467.98</w:t>
      </w:r>
      <w:r>
        <w:rPr>
          <w:rFonts w:hint="eastAsia" w:ascii="仿宋_GB2312" w:hAnsi="仿宋"/>
          <w:szCs w:val="32"/>
        </w:rPr>
        <w:t>万元，完成年初预算的</w:t>
      </w:r>
      <w:r>
        <w:rPr>
          <w:rFonts w:hint="eastAsia" w:ascii="仿宋_GB2312" w:hAnsi="仿宋"/>
          <w:szCs w:val="32"/>
          <w:lang w:val="en-US" w:eastAsia="zh-CN"/>
        </w:rPr>
        <w:t>64.07</w:t>
      </w:r>
      <w:r>
        <w:rPr>
          <w:rFonts w:hint="eastAsia" w:ascii="仿宋_GB2312" w:hAnsi="仿宋"/>
          <w:szCs w:val="32"/>
        </w:rPr>
        <w:t>%。决算数小于预算数的主要原因:一是</w:t>
      </w:r>
      <w:r>
        <w:rPr>
          <w:rFonts w:hint="eastAsia" w:ascii="仿宋_GB2312" w:hAnsi="仿宋"/>
          <w:szCs w:val="32"/>
          <w:lang w:eastAsia="zh-CN"/>
        </w:rPr>
        <w:t>村级公益事业“一事一议”奖补及示范村补助、政策性农业保险补贴两个项目支出预算列支在本单位，而支出决算在财政大预算中</w:t>
      </w:r>
      <w:r>
        <w:rPr>
          <w:rFonts w:hint="eastAsia" w:ascii="仿宋_GB2312" w:hAnsi="仿宋"/>
          <w:szCs w:val="32"/>
          <w:lang w:val="en-US" w:eastAsia="zh-CN"/>
        </w:rPr>
        <w:tab/>
      </w:r>
      <w:r>
        <w:rPr>
          <w:rFonts w:hint="eastAsia" w:ascii="仿宋_GB2312" w:hAnsi="仿宋"/>
          <w:szCs w:val="32"/>
          <w:lang w:val="en-US" w:eastAsia="zh-CN"/>
        </w:rPr>
        <w:t>列支。如果支出年初预算剔除此两个项目，单位支出年初预算为1482.16万元，则支出决算完成年初预算166.51%，决算数大于预算数在主要原因：一是年中追加离退休人员及在职人员一次性工作奖励支出</w:t>
      </w:r>
      <w:r>
        <w:rPr>
          <w:rFonts w:hint="eastAsia" w:ascii="仿宋_GB2312" w:hAnsi="仿宋" w:cs="Times New Roman"/>
          <w:szCs w:val="32"/>
          <w:lang w:val="en-US" w:eastAsia="zh-CN"/>
        </w:rPr>
        <w:t>；二是上年结转本年支付的国库支付电子化系统升级扩容项目支出。三是局属二级单位国库支付人员工资等基本支出决算在本级列支，而其预算在国库支付中心安排。其</w:t>
      </w:r>
      <w:r>
        <w:rPr>
          <w:rFonts w:hint="eastAsia" w:ascii="仿宋_GB2312" w:hAnsi="仿宋"/>
          <w:szCs w:val="32"/>
        </w:rPr>
        <w:t>中:基本支出</w:t>
      </w:r>
      <w:r>
        <w:rPr>
          <w:rFonts w:hint="eastAsia" w:ascii="仿宋_GB2312" w:hAnsi="仿宋"/>
          <w:szCs w:val="32"/>
          <w:lang w:val="en-US" w:eastAsia="zh-CN"/>
        </w:rPr>
        <w:t>1643.46</w:t>
      </w:r>
      <w:r>
        <w:rPr>
          <w:rFonts w:hint="eastAsia" w:ascii="仿宋_GB2312" w:hAnsi="仿宋"/>
          <w:szCs w:val="32"/>
        </w:rPr>
        <w:t>万元，占</w:t>
      </w:r>
      <w:r>
        <w:rPr>
          <w:rFonts w:hint="eastAsia" w:ascii="仿宋_GB2312" w:hAnsi="仿宋"/>
          <w:szCs w:val="32"/>
          <w:lang w:val="en-US" w:eastAsia="zh-CN"/>
        </w:rPr>
        <w:t>66.59</w:t>
      </w:r>
      <w:r>
        <w:rPr>
          <w:rFonts w:hint="eastAsia" w:ascii="仿宋_GB2312" w:hAnsi="仿宋"/>
          <w:szCs w:val="32"/>
        </w:rPr>
        <w:t>%；项目支出</w:t>
      </w:r>
      <w:r>
        <w:rPr>
          <w:rFonts w:hint="eastAsia" w:ascii="仿宋_GB2312" w:hAnsi="仿宋"/>
          <w:szCs w:val="32"/>
          <w:lang w:val="en-US" w:eastAsia="zh-CN"/>
        </w:rPr>
        <w:t>824.52</w:t>
      </w:r>
      <w:r>
        <w:rPr>
          <w:rFonts w:hint="eastAsia" w:ascii="仿宋_GB2312" w:hAnsi="仿宋"/>
          <w:szCs w:val="32"/>
        </w:rPr>
        <w:t>万元，占</w:t>
      </w:r>
      <w:r>
        <w:rPr>
          <w:rFonts w:hint="eastAsia" w:ascii="仿宋_GB2312" w:hAnsi="仿宋"/>
          <w:szCs w:val="32"/>
          <w:lang w:val="en-US" w:eastAsia="zh-CN"/>
        </w:rPr>
        <w:t>33.41</w:t>
      </w:r>
      <w:r>
        <w:rPr>
          <w:rFonts w:hint="eastAsia" w:ascii="仿宋_GB2312" w:hAnsi="仿宋"/>
          <w:szCs w:val="32"/>
        </w:rPr>
        <w:t>%。具体情况如下：</w:t>
      </w:r>
    </w:p>
    <w:p>
      <w:pPr>
        <w:keepNext w:val="0"/>
        <w:keepLines w:val="0"/>
        <w:pageBreakBefore w:val="0"/>
        <w:spacing w:line="560" w:lineRule="exact"/>
        <w:ind w:firstLine="628"/>
        <w:rPr>
          <w:rFonts w:hint="eastAsia" w:ascii="仿宋_GB2312" w:hAnsi="仿宋"/>
          <w:color w:val="FF0000"/>
          <w:szCs w:val="32"/>
        </w:rPr>
      </w:pPr>
      <w:r>
        <w:rPr>
          <w:rFonts w:hint="eastAsia" w:ascii="仿宋_GB2312" w:hAnsi="仿宋"/>
          <w:szCs w:val="32"/>
        </w:rPr>
        <w:t>1.</w:t>
      </w:r>
      <w:r>
        <w:rPr>
          <w:rFonts w:hint="eastAsia" w:ascii="仿宋_GB2312" w:hAnsi="仿宋"/>
          <w:b/>
          <w:szCs w:val="32"/>
        </w:rPr>
        <w:t>一般公共服务（类）财政事务（款）行政运行（项）</w:t>
      </w:r>
      <w:r>
        <w:rPr>
          <w:rFonts w:hint="eastAsia" w:ascii="仿宋_GB2312" w:hAnsi="仿宋"/>
          <w:szCs w:val="32"/>
        </w:rPr>
        <w:t>。年初预算为</w:t>
      </w:r>
      <w:r>
        <w:rPr>
          <w:rFonts w:hint="eastAsia" w:ascii="仿宋_GB2312" w:hAnsi="仿宋"/>
          <w:szCs w:val="32"/>
          <w:lang w:val="en-US" w:eastAsia="zh-CN"/>
        </w:rPr>
        <w:t>750.29</w:t>
      </w:r>
      <w:r>
        <w:rPr>
          <w:rFonts w:hint="eastAsia" w:ascii="仿宋_GB2312" w:hAnsi="仿宋"/>
          <w:szCs w:val="32"/>
        </w:rPr>
        <w:t>万元，支出决算为</w:t>
      </w:r>
      <w:r>
        <w:rPr>
          <w:rFonts w:hint="eastAsia" w:ascii="仿宋_GB2312" w:hAnsi="仿宋"/>
          <w:szCs w:val="32"/>
          <w:lang w:val="en-US" w:eastAsia="zh-CN"/>
        </w:rPr>
        <w:t>1196.98</w:t>
      </w:r>
      <w:r>
        <w:rPr>
          <w:rFonts w:hint="eastAsia" w:ascii="仿宋_GB2312" w:hAnsi="仿宋"/>
          <w:szCs w:val="32"/>
        </w:rPr>
        <w:t>万元，完成年初预算的</w:t>
      </w:r>
      <w:r>
        <w:rPr>
          <w:rFonts w:hint="eastAsia" w:ascii="仿宋_GB2312" w:hAnsi="仿宋"/>
          <w:szCs w:val="32"/>
          <w:lang w:val="en-US" w:eastAsia="zh-CN"/>
        </w:rPr>
        <w:t>159.54</w:t>
      </w:r>
      <w:r>
        <w:rPr>
          <w:rFonts w:hint="eastAsia" w:ascii="仿宋_GB2312" w:hAnsi="仿宋"/>
          <w:szCs w:val="32"/>
        </w:rPr>
        <w:t>%，决算数大于预算数的主要原因是年中追加</w:t>
      </w:r>
      <w:r>
        <w:rPr>
          <w:rFonts w:hint="eastAsia" w:ascii="仿宋" w:hAnsi="仿宋" w:eastAsia="仿宋"/>
          <w:szCs w:val="32"/>
        </w:rPr>
        <w:t>在职人员</w:t>
      </w:r>
      <w:r>
        <w:rPr>
          <w:rFonts w:hint="eastAsia" w:ascii="仿宋" w:hAnsi="仿宋" w:eastAsia="仿宋"/>
          <w:color w:val="000000"/>
          <w:szCs w:val="32"/>
        </w:rPr>
        <w:t>一次性奖金支出及</w:t>
      </w:r>
      <w:r>
        <w:rPr>
          <w:rFonts w:hint="eastAsia" w:ascii="仿宋_GB2312" w:hAnsi="仿宋" w:cs="Times New Roman"/>
          <w:szCs w:val="32"/>
          <w:lang w:val="en-US" w:eastAsia="zh-CN"/>
        </w:rPr>
        <w:t>局属二级单位国库支付人员工资等基本支出决算在局本级列支，而其预算在国库支付中心安排</w:t>
      </w:r>
      <w:r>
        <w:rPr>
          <w:rFonts w:hint="eastAsia" w:ascii="仿宋_GB2312" w:hAnsi="仿宋"/>
          <w:color w:val="000000"/>
          <w:szCs w:val="32"/>
        </w:rPr>
        <w:t>。</w:t>
      </w:r>
    </w:p>
    <w:p>
      <w:pPr>
        <w:keepNext w:val="0"/>
        <w:keepLines w:val="0"/>
        <w:pageBreakBefore w:val="0"/>
        <w:spacing w:line="560" w:lineRule="exact"/>
        <w:ind w:firstLine="628"/>
        <w:rPr>
          <w:rFonts w:hint="eastAsia" w:ascii="仿宋_GB2312" w:hAnsi="仿宋"/>
          <w:szCs w:val="32"/>
        </w:rPr>
      </w:pPr>
      <w:r>
        <w:rPr>
          <w:rFonts w:hint="eastAsia" w:ascii="仿宋_GB2312" w:hAnsi="仿宋"/>
          <w:szCs w:val="32"/>
        </w:rPr>
        <w:t>2.</w:t>
      </w:r>
      <w:r>
        <w:rPr>
          <w:rFonts w:hint="eastAsia" w:ascii="仿宋_GB2312" w:hAnsi="仿宋"/>
          <w:b/>
          <w:szCs w:val="32"/>
        </w:rPr>
        <w:t>一般公共服务（类）财政事务（款）一般行政管理事务（项）</w:t>
      </w:r>
      <w:r>
        <w:rPr>
          <w:rFonts w:hint="eastAsia" w:ascii="仿宋_GB2312" w:hAnsi="仿宋"/>
          <w:szCs w:val="32"/>
        </w:rPr>
        <w:t>。年初预算为</w:t>
      </w:r>
      <w:r>
        <w:rPr>
          <w:rFonts w:hint="eastAsia" w:ascii="仿宋_GB2312" w:hAnsi="仿宋"/>
          <w:szCs w:val="32"/>
          <w:lang w:val="en-US" w:eastAsia="zh-CN"/>
        </w:rPr>
        <w:t>452.5</w:t>
      </w:r>
      <w:r>
        <w:rPr>
          <w:rFonts w:hint="eastAsia" w:ascii="仿宋_GB2312" w:hAnsi="仿宋"/>
          <w:szCs w:val="32"/>
        </w:rPr>
        <w:t>万元，支出决算为</w:t>
      </w:r>
      <w:r>
        <w:rPr>
          <w:rFonts w:hint="eastAsia" w:ascii="仿宋_GB2312" w:hAnsi="仿宋"/>
          <w:szCs w:val="32"/>
          <w:lang w:val="en-US" w:eastAsia="zh-CN"/>
        </w:rPr>
        <w:t>428.51</w:t>
      </w:r>
      <w:r>
        <w:rPr>
          <w:rFonts w:hint="eastAsia" w:ascii="仿宋_GB2312" w:hAnsi="仿宋"/>
          <w:szCs w:val="32"/>
        </w:rPr>
        <w:t>万元，完成年初预算的</w:t>
      </w:r>
      <w:r>
        <w:rPr>
          <w:rFonts w:hint="eastAsia" w:ascii="仿宋_GB2312" w:hAnsi="仿宋"/>
          <w:szCs w:val="32"/>
          <w:lang w:val="en-US" w:eastAsia="zh-CN"/>
        </w:rPr>
        <w:t>94.7</w:t>
      </w:r>
      <w:r>
        <w:rPr>
          <w:rFonts w:hint="eastAsia" w:ascii="仿宋_GB2312" w:hAnsi="仿宋"/>
          <w:szCs w:val="32"/>
        </w:rPr>
        <w:t>%，决算数小于预算数的主要原因是</w:t>
      </w:r>
      <w:r>
        <w:rPr>
          <w:rFonts w:hint="eastAsia" w:ascii="仿宋_GB2312" w:hAnsi="仿宋"/>
          <w:szCs w:val="32"/>
          <w:lang w:eastAsia="zh-CN"/>
        </w:rPr>
        <w:t>新冠疫情原因导致全市支农政策及财政干部培训未实施资金未支出</w:t>
      </w:r>
      <w:r>
        <w:rPr>
          <w:rFonts w:hint="eastAsia" w:ascii="仿宋_GB2312" w:hAnsi="仿宋"/>
          <w:szCs w:val="32"/>
        </w:rPr>
        <w:t>。</w:t>
      </w:r>
    </w:p>
    <w:p>
      <w:pPr>
        <w:keepNext w:val="0"/>
        <w:keepLines w:val="0"/>
        <w:pageBreakBefore w:val="0"/>
        <w:spacing w:line="560" w:lineRule="exact"/>
        <w:ind w:firstLine="628"/>
        <w:rPr>
          <w:rFonts w:hint="eastAsia" w:ascii="仿宋_GB2312" w:hAnsi="仿宋"/>
          <w:color w:val="000000"/>
          <w:szCs w:val="32"/>
          <w:lang w:eastAsia="zh-CN"/>
        </w:rPr>
      </w:pPr>
      <w:r>
        <w:rPr>
          <w:rFonts w:hint="eastAsia" w:ascii="仿宋_GB2312" w:hAnsi="仿宋"/>
          <w:szCs w:val="32"/>
          <w:lang w:val="en-US" w:eastAsia="zh-CN"/>
        </w:rPr>
        <w:t>3</w:t>
      </w:r>
      <w:r>
        <w:rPr>
          <w:rFonts w:hint="eastAsia" w:ascii="仿宋_GB2312" w:hAnsi="仿宋"/>
          <w:szCs w:val="32"/>
        </w:rPr>
        <w:t>.</w:t>
      </w:r>
      <w:r>
        <w:rPr>
          <w:rFonts w:hint="eastAsia" w:ascii="仿宋_GB2312" w:hAnsi="仿宋"/>
          <w:b/>
          <w:szCs w:val="32"/>
        </w:rPr>
        <w:t>一般公共服务（类）财政事务（款）</w:t>
      </w:r>
      <w:r>
        <w:rPr>
          <w:rFonts w:hint="eastAsia" w:ascii="仿宋_GB2312" w:hAnsi="仿宋"/>
          <w:b/>
          <w:szCs w:val="32"/>
          <w:lang w:eastAsia="zh-CN"/>
        </w:rPr>
        <w:t>财政国库业务</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13.92</w:t>
      </w:r>
      <w:r>
        <w:rPr>
          <w:rFonts w:hint="eastAsia" w:ascii="仿宋_GB2312" w:hAnsi="仿宋"/>
          <w:szCs w:val="32"/>
        </w:rPr>
        <w:t>万元，</w:t>
      </w:r>
      <w:r>
        <w:rPr>
          <w:rFonts w:hint="eastAsia" w:ascii="仿宋_GB2312" w:hAnsi="仿宋"/>
          <w:color w:val="000000"/>
          <w:szCs w:val="32"/>
        </w:rPr>
        <w:t>决算数</w:t>
      </w:r>
      <w:r>
        <w:rPr>
          <w:rFonts w:hint="eastAsia" w:ascii="仿宋_GB2312" w:hAnsi="仿宋"/>
          <w:color w:val="000000"/>
          <w:szCs w:val="32"/>
          <w:lang w:eastAsia="zh-CN"/>
        </w:rPr>
        <w:t>大于</w:t>
      </w:r>
      <w:r>
        <w:rPr>
          <w:rFonts w:hint="eastAsia" w:ascii="仿宋_GB2312" w:hAnsi="仿宋"/>
          <w:color w:val="000000"/>
          <w:szCs w:val="32"/>
        </w:rPr>
        <w:t>预算数的主要原因</w:t>
      </w:r>
      <w:r>
        <w:rPr>
          <w:rFonts w:hint="eastAsia" w:ascii="仿宋_GB2312" w:hAnsi="仿宋"/>
          <w:color w:val="000000"/>
          <w:szCs w:val="32"/>
          <w:lang w:eastAsia="zh-CN"/>
        </w:rPr>
        <w:t>：国库支付中心人员交通费、通讯费等资金预算在国库支付中心安排，而决算反映在局本级。</w:t>
      </w:r>
    </w:p>
    <w:p>
      <w:pPr>
        <w:keepNext w:val="0"/>
        <w:keepLines w:val="0"/>
        <w:pageBreakBefore w:val="0"/>
        <w:spacing w:line="560" w:lineRule="exact"/>
        <w:ind w:firstLine="628"/>
        <w:rPr>
          <w:rFonts w:hint="eastAsia" w:ascii="仿宋_GB2312" w:hAnsi="仿宋" w:cs="Times New Roman"/>
          <w:szCs w:val="32"/>
        </w:rPr>
      </w:pPr>
      <w:r>
        <w:rPr>
          <w:rFonts w:hint="eastAsia" w:ascii="仿宋_GB2312" w:hAnsi="仿宋"/>
          <w:szCs w:val="32"/>
          <w:lang w:val="en-US" w:eastAsia="zh-CN"/>
        </w:rPr>
        <w:t>4</w:t>
      </w:r>
      <w:r>
        <w:rPr>
          <w:rFonts w:hint="eastAsia" w:ascii="仿宋_GB2312" w:hAnsi="仿宋"/>
          <w:szCs w:val="32"/>
        </w:rPr>
        <w:t>．</w:t>
      </w:r>
      <w:r>
        <w:rPr>
          <w:rFonts w:hint="eastAsia" w:ascii="仿宋_GB2312" w:hAnsi="仿宋"/>
          <w:b/>
          <w:szCs w:val="32"/>
        </w:rPr>
        <w:t>一般公共服务（类）财政事务（款）</w:t>
      </w:r>
      <w:r>
        <w:rPr>
          <w:rFonts w:hint="eastAsia" w:ascii="仿宋_GB2312" w:hAnsi="仿宋"/>
          <w:b/>
          <w:szCs w:val="32"/>
          <w:lang w:eastAsia="zh-CN"/>
        </w:rPr>
        <w:t>信息化建设</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154.19</w:t>
      </w:r>
      <w:r>
        <w:rPr>
          <w:rFonts w:hint="eastAsia" w:ascii="仿宋_GB2312" w:hAnsi="仿宋"/>
          <w:szCs w:val="32"/>
        </w:rPr>
        <w:t>万元，决算数大于预算数</w:t>
      </w:r>
      <w:r>
        <w:rPr>
          <w:rFonts w:hint="eastAsia" w:ascii="仿宋_GB2312" w:hAnsi="仿宋" w:cs="Times New Roman"/>
          <w:szCs w:val="32"/>
        </w:rPr>
        <w:t>的主要原因是</w:t>
      </w:r>
      <w:r>
        <w:rPr>
          <w:rFonts w:hint="eastAsia" w:ascii="仿宋_GB2312" w:hAnsi="仿宋" w:cs="Times New Roman"/>
          <w:szCs w:val="32"/>
          <w:lang w:eastAsia="zh-CN"/>
        </w:rPr>
        <w:t>上年结转的国库支付电子化系统升级扩容项目资金本年支付。</w:t>
      </w:r>
    </w:p>
    <w:p>
      <w:pPr>
        <w:keepNext w:val="0"/>
        <w:keepLines w:val="0"/>
        <w:pageBreakBefore w:val="0"/>
        <w:spacing w:line="560" w:lineRule="exact"/>
        <w:ind w:firstLine="628"/>
        <w:rPr>
          <w:rFonts w:hint="eastAsia" w:ascii="仿宋_GB2312" w:hAnsi="仿宋"/>
          <w:szCs w:val="32"/>
        </w:rPr>
      </w:pPr>
      <w:r>
        <w:rPr>
          <w:rFonts w:hint="eastAsia" w:ascii="仿宋_GB2312" w:hAnsi="仿宋"/>
          <w:szCs w:val="32"/>
          <w:lang w:val="en-US" w:eastAsia="zh-CN"/>
        </w:rPr>
        <w:t>5</w:t>
      </w:r>
      <w:r>
        <w:rPr>
          <w:rFonts w:hint="eastAsia" w:ascii="仿宋_GB2312" w:hAnsi="仿宋"/>
          <w:szCs w:val="32"/>
        </w:rPr>
        <w:t>．</w:t>
      </w:r>
      <w:r>
        <w:rPr>
          <w:rFonts w:hint="eastAsia" w:ascii="仿宋_GB2312" w:hAnsi="仿宋"/>
          <w:b/>
          <w:szCs w:val="32"/>
        </w:rPr>
        <w:t>一般公共服务（类）财政事务（款）</w:t>
      </w:r>
      <w:r>
        <w:rPr>
          <w:rFonts w:hint="eastAsia" w:ascii="仿宋_GB2312" w:hAnsi="仿宋"/>
          <w:b/>
          <w:szCs w:val="32"/>
          <w:lang w:eastAsia="zh-CN"/>
        </w:rPr>
        <w:t>财政委托业务支出</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13.14</w:t>
      </w:r>
      <w:r>
        <w:rPr>
          <w:rFonts w:hint="eastAsia" w:ascii="仿宋_GB2312" w:hAnsi="仿宋"/>
          <w:szCs w:val="32"/>
        </w:rPr>
        <w:t>万元，决算数大于预算数的主要原因是年中财政追加</w:t>
      </w:r>
      <w:r>
        <w:rPr>
          <w:rFonts w:hint="eastAsia" w:ascii="仿宋_GB2312" w:hAnsi="仿宋"/>
          <w:szCs w:val="32"/>
          <w:lang w:eastAsia="zh-CN"/>
        </w:rPr>
        <w:t>会计代理记账业务费资金</w:t>
      </w:r>
      <w:r>
        <w:rPr>
          <w:rFonts w:hint="eastAsia" w:ascii="仿宋_GB2312" w:hAnsi="仿宋"/>
          <w:szCs w:val="32"/>
        </w:rPr>
        <w:t>。</w:t>
      </w:r>
    </w:p>
    <w:p>
      <w:pPr>
        <w:keepNext w:val="0"/>
        <w:keepLines w:val="0"/>
        <w:pageBreakBefore w:val="0"/>
        <w:spacing w:line="560" w:lineRule="exact"/>
        <w:ind w:firstLine="628"/>
        <w:rPr>
          <w:rFonts w:hint="eastAsia" w:ascii="仿宋_GB2312" w:hAnsi="仿宋"/>
          <w:szCs w:val="32"/>
        </w:rPr>
      </w:pPr>
      <w:r>
        <w:rPr>
          <w:rFonts w:hint="eastAsia" w:ascii="仿宋_GB2312" w:hAnsi="仿宋"/>
          <w:szCs w:val="32"/>
          <w:lang w:val="en-US" w:eastAsia="zh-CN"/>
        </w:rPr>
        <w:t>6</w:t>
      </w:r>
      <w:r>
        <w:rPr>
          <w:rFonts w:hint="eastAsia" w:ascii="仿宋_GB2312" w:hAnsi="仿宋"/>
          <w:szCs w:val="32"/>
        </w:rPr>
        <w:t>．</w:t>
      </w:r>
      <w:r>
        <w:rPr>
          <w:rFonts w:hint="eastAsia" w:ascii="仿宋_GB2312" w:hAnsi="仿宋"/>
          <w:b/>
          <w:szCs w:val="32"/>
        </w:rPr>
        <w:t>一般公共服务（类）财政事务（款）</w:t>
      </w:r>
      <w:r>
        <w:rPr>
          <w:rFonts w:hint="eastAsia" w:ascii="仿宋_GB2312" w:hAnsi="仿宋"/>
          <w:b/>
          <w:szCs w:val="32"/>
          <w:lang w:eastAsia="zh-CN"/>
        </w:rPr>
        <w:t>事业运行</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24.44</w:t>
      </w:r>
      <w:r>
        <w:rPr>
          <w:rFonts w:hint="eastAsia" w:ascii="仿宋_GB2312" w:hAnsi="仿宋"/>
          <w:szCs w:val="32"/>
        </w:rPr>
        <w:t>万元，支出决算为</w:t>
      </w:r>
      <w:r>
        <w:rPr>
          <w:rFonts w:hint="eastAsia" w:ascii="仿宋_GB2312" w:hAnsi="仿宋"/>
          <w:szCs w:val="32"/>
          <w:lang w:val="en-US" w:eastAsia="zh-CN"/>
        </w:rPr>
        <w:t>24.1</w:t>
      </w:r>
      <w:r>
        <w:rPr>
          <w:rFonts w:hint="eastAsia" w:ascii="仿宋_GB2312" w:hAnsi="仿宋"/>
          <w:szCs w:val="32"/>
        </w:rPr>
        <w:t>万元，完成年初预算的</w:t>
      </w:r>
      <w:r>
        <w:rPr>
          <w:rFonts w:hint="eastAsia" w:ascii="仿宋_GB2312" w:hAnsi="仿宋"/>
          <w:szCs w:val="32"/>
          <w:lang w:val="en-US" w:eastAsia="zh-CN"/>
        </w:rPr>
        <w:t>98.61</w:t>
      </w:r>
      <w:r>
        <w:rPr>
          <w:rFonts w:hint="eastAsia" w:ascii="仿宋_GB2312" w:hAnsi="仿宋"/>
          <w:szCs w:val="32"/>
        </w:rPr>
        <w:t>%，决算数</w:t>
      </w:r>
      <w:r>
        <w:rPr>
          <w:rFonts w:hint="eastAsia" w:ascii="仿宋_GB2312" w:hAnsi="仿宋"/>
          <w:szCs w:val="32"/>
          <w:lang w:eastAsia="zh-CN"/>
        </w:rPr>
        <w:t>与</w:t>
      </w:r>
      <w:r>
        <w:rPr>
          <w:rFonts w:hint="eastAsia" w:ascii="仿宋_GB2312" w:hAnsi="仿宋"/>
          <w:szCs w:val="32"/>
        </w:rPr>
        <w:t>预算数</w:t>
      </w:r>
      <w:r>
        <w:rPr>
          <w:rFonts w:hint="eastAsia" w:ascii="仿宋_GB2312" w:hAnsi="仿宋"/>
          <w:szCs w:val="32"/>
          <w:lang w:eastAsia="zh-CN"/>
        </w:rPr>
        <w:t>基本持平。</w:t>
      </w:r>
    </w:p>
    <w:p>
      <w:pPr>
        <w:keepNext w:val="0"/>
        <w:keepLines w:val="0"/>
        <w:pageBreakBefore w:val="0"/>
        <w:spacing w:line="560" w:lineRule="exact"/>
        <w:ind w:firstLine="628"/>
        <w:rPr>
          <w:rFonts w:hint="eastAsia" w:ascii="仿宋_GB2312" w:hAnsi="仿宋" w:cs="Times New Roman"/>
          <w:szCs w:val="32"/>
        </w:rPr>
      </w:pPr>
      <w:r>
        <w:rPr>
          <w:rFonts w:hint="eastAsia" w:ascii="仿宋_GB2312" w:hAnsi="仿宋"/>
          <w:szCs w:val="32"/>
          <w:lang w:val="en-US" w:eastAsia="zh-CN"/>
        </w:rPr>
        <w:t>7</w:t>
      </w:r>
      <w:r>
        <w:rPr>
          <w:rFonts w:hint="eastAsia" w:ascii="仿宋_GB2312" w:hAnsi="仿宋"/>
          <w:szCs w:val="32"/>
        </w:rPr>
        <w:t>．</w:t>
      </w:r>
      <w:r>
        <w:rPr>
          <w:rFonts w:hint="eastAsia" w:ascii="仿宋_GB2312" w:hAnsi="仿宋"/>
          <w:b/>
          <w:szCs w:val="32"/>
        </w:rPr>
        <w:t>一般公共服务（类）财政事务（款）</w:t>
      </w:r>
      <w:r>
        <w:rPr>
          <w:rFonts w:hint="eastAsia" w:ascii="仿宋_GB2312" w:hAnsi="仿宋"/>
          <w:b/>
          <w:szCs w:val="32"/>
          <w:lang w:eastAsia="zh-CN"/>
        </w:rPr>
        <w:t>其他财政事务支出</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5</w:t>
      </w:r>
      <w:r>
        <w:rPr>
          <w:rFonts w:hint="eastAsia" w:ascii="仿宋_GB2312" w:hAnsi="仿宋"/>
          <w:szCs w:val="32"/>
        </w:rPr>
        <w:t>万元，支出决算为</w:t>
      </w:r>
      <w:r>
        <w:rPr>
          <w:rFonts w:hint="eastAsia" w:ascii="仿宋_GB2312" w:hAnsi="仿宋"/>
          <w:szCs w:val="32"/>
          <w:lang w:val="en-US" w:eastAsia="zh-CN"/>
        </w:rPr>
        <w:t>203.29</w:t>
      </w:r>
      <w:r>
        <w:rPr>
          <w:rFonts w:hint="eastAsia" w:ascii="仿宋_GB2312" w:hAnsi="仿宋"/>
          <w:szCs w:val="32"/>
        </w:rPr>
        <w:t>万元，完成年初预算的</w:t>
      </w:r>
      <w:r>
        <w:rPr>
          <w:rFonts w:hint="eastAsia" w:ascii="仿宋_GB2312" w:hAnsi="仿宋"/>
          <w:szCs w:val="32"/>
          <w:lang w:val="en-US" w:eastAsia="zh-CN"/>
        </w:rPr>
        <w:t>4065.8</w:t>
      </w:r>
      <w:r>
        <w:rPr>
          <w:rFonts w:hint="eastAsia" w:ascii="仿宋_GB2312" w:hAnsi="仿宋"/>
          <w:szCs w:val="32"/>
        </w:rPr>
        <w:t>%，决算数大于预算数的</w:t>
      </w:r>
      <w:r>
        <w:rPr>
          <w:rFonts w:hint="eastAsia" w:ascii="仿宋_GB2312" w:hAnsi="仿宋" w:cs="Times New Roman"/>
          <w:szCs w:val="32"/>
        </w:rPr>
        <w:t>主要原因是</w:t>
      </w:r>
      <w:r>
        <w:rPr>
          <w:rFonts w:hint="eastAsia" w:ascii="仿宋_GB2312" w:hAnsi="仿宋" w:cs="Times New Roman"/>
          <w:szCs w:val="32"/>
          <w:lang w:eastAsia="zh-CN"/>
        </w:rPr>
        <w:t>财政国库支付业务用房基本建设支出项目预算资金来源为上年结余</w:t>
      </w:r>
      <w:r>
        <w:rPr>
          <w:rFonts w:hint="eastAsia" w:ascii="仿宋_GB2312" w:hAnsi="仿宋" w:cs="Times New Roman"/>
          <w:szCs w:val="32"/>
        </w:rPr>
        <w:t>。</w:t>
      </w:r>
    </w:p>
    <w:p>
      <w:pPr>
        <w:keepNext w:val="0"/>
        <w:keepLines w:val="0"/>
        <w:pageBreakBefore w:val="0"/>
        <w:spacing w:line="560" w:lineRule="exact"/>
        <w:ind w:firstLine="628"/>
        <w:rPr>
          <w:rFonts w:hint="eastAsia" w:ascii="仿宋_GB2312" w:hAnsi="仿宋"/>
          <w:szCs w:val="32"/>
        </w:rPr>
      </w:pPr>
      <w:r>
        <w:rPr>
          <w:rFonts w:hint="eastAsia" w:ascii="仿宋_GB2312" w:hAnsi="仿宋"/>
          <w:szCs w:val="32"/>
          <w:lang w:val="en-US" w:eastAsia="zh-CN"/>
        </w:rPr>
        <w:t>8</w:t>
      </w:r>
      <w:r>
        <w:rPr>
          <w:rFonts w:hint="eastAsia" w:ascii="仿宋_GB2312" w:hAnsi="仿宋"/>
          <w:szCs w:val="32"/>
        </w:rPr>
        <w:t>．</w:t>
      </w:r>
      <w:r>
        <w:rPr>
          <w:rFonts w:hint="eastAsia" w:ascii="仿宋_GB2312" w:hAnsi="仿宋"/>
          <w:b/>
          <w:szCs w:val="32"/>
        </w:rPr>
        <w:t>一般公共服务（类）</w:t>
      </w:r>
      <w:r>
        <w:rPr>
          <w:rFonts w:hint="eastAsia" w:ascii="仿宋_GB2312" w:hAnsi="仿宋"/>
          <w:b/>
          <w:szCs w:val="32"/>
          <w:lang w:eastAsia="zh-CN"/>
        </w:rPr>
        <w:t>组织事务</w:t>
      </w:r>
      <w:r>
        <w:rPr>
          <w:rFonts w:hint="eastAsia" w:ascii="仿宋_GB2312" w:hAnsi="仿宋"/>
          <w:b/>
          <w:szCs w:val="32"/>
        </w:rPr>
        <w:t>（款）</w:t>
      </w:r>
      <w:r>
        <w:rPr>
          <w:rFonts w:hint="eastAsia" w:ascii="仿宋_GB2312" w:hAnsi="仿宋"/>
          <w:b/>
          <w:szCs w:val="32"/>
          <w:lang w:eastAsia="zh-CN"/>
        </w:rPr>
        <w:t>其他组织事务支出</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5.4</w:t>
      </w:r>
      <w:r>
        <w:rPr>
          <w:rFonts w:hint="eastAsia" w:ascii="仿宋_GB2312" w:hAnsi="仿宋"/>
          <w:szCs w:val="32"/>
        </w:rPr>
        <w:t>万元，决算数大于预算数的主要原因是</w:t>
      </w:r>
      <w:r>
        <w:rPr>
          <w:rFonts w:hint="eastAsia" w:ascii="仿宋_GB2312" w:hAnsi="仿宋"/>
          <w:szCs w:val="32"/>
          <w:lang w:eastAsia="zh-CN"/>
        </w:rPr>
        <w:t>年中追加选派扶贫干部经费</w:t>
      </w:r>
      <w:r>
        <w:rPr>
          <w:rFonts w:hint="eastAsia" w:ascii="仿宋_GB2312" w:hAnsi="仿宋"/>
          <w:szCs w:val="32"/>
        </w:rPr>
        <w:t>。</w:t>
      </w:r>
    </w:p>
    <w:p>
      <w:pPr>
        <w:keepNext w:val="0"/>
        <w:keepLines w:val="0"/>
        <w:pageBreakBefore w:val="0"/>
        <w:spacing w:line="560" w:lineRule="exact"/>
        <w:ind w:firstLine="628"/>
        <w:rPr>
          <w:rFonts w:hint="eastAsia" w:ascii="仿宋_GB2312" w:hAnsi="仿宋"/>
          <w:szCs w:val="32"/>
        </w:rPr>
      </w:pPr>
      <w:r>
        <w:rPr>
          <w:rFonts w:hint="eastAsia" w:ascii="仿宋_GB2312" w:hAnsi="仿宋"/>
          <w:szCs w:val="32"/>
          <w:lang w:val="en-US" w:eastAsia="zh-CN"/>
        </w:rPr>
        <w:t>9</w:t>
      </w:r>
      <w:r>
        <w:rPr>
          <w:rFonts w:hint="eastAsia" w:ascii="仿宋_GB2312" w:hAnsi="仿宋"/>
          <w:szCs w:val="32"/>
        </w:rPr>
        <w:t>．</w:t>
      </w:r>
      <w:r>
        <w:rPr>
          <w:rFonts w:hint="eastAsia" w:ascii="仿宋_GB2312" w:hAnsi="仿宋"/>
          <w:b/>
          <w:szCs w:val="32"/>
          <w:lang w:eastAsia="zh-CN"/>
        </w:rPr>
        <w:t>社会保障和就业服务</w:t>
      </w:r>
      <w:r>
        <w:rPr>
          <w:rFonts w:hint="eastAsia" w:ascii="仿宋_GB2312" w:hAnsi="仿宋"/>
          <w:b/>
          <w:szCs w:val="32"/>
        </w:rPr>
        <w:t>（类）</w:t>
      </w:r>
      <w:r>
        <w:rPr>
          <w:rFonts w:hint="eastAsia" w:ascii="仿宋_GB2312" w:hAnsi="仿宋"/>
          <w:b/>
          <w:szCs w:val="32"/>
          <w:lang w:eastAsia="zh-CN"/>
        </w:rPr>
        <w:t>行政事业单位养老支出</w:t>
      </w:r>
      <w:r>
        <w:rPr>
          <w:rFonts w:hint="eastAsia" w:ascii="仿宋_GB2312" w:hAnsi="仿宋"/>
          <w:b/>
          <w:szCs w:val="32"/>
        </w:rPr>
        <w:t>（款）</w:t>
      </w:r>
      <w:r>
        <w:rPr>
          <w:rFonts w:hint="eastAsia" w:ascii="仿宋_GB2312" w:hAnsi="仿宋"/>
          <w:b/>
          <w:szCs w:val="32"/>
          <w:lang w:eastAsia="zh-CN"/>
        </w:rPr>
        <w:t>行政单位离退休</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14.2</w:t>
      </w:r>
      <w:r>
        <w:rPr>
          <w:rFonts w:hint="eastAsia" w:ascii="仿宋_GB2312" w:hAnsi="仿宋"/>
          <w:szCs w:val="32"/>
        </w:rPr>
        <w:t>万元，支出决算为</w:t>
      </w:r>
      <w:r>
        <w:rPr>
          <w:rFonts w:hint="eastAsia" w:ascii="仿宋_GB2312" w:hAnsi="仿宋"/>
          <w:szCs w:val="32"/>
          <w:lang w:val="en-US" w:eastAsia="zh-CN"/>
        </w:rPr>
        <w:t>83.16</w:t>
      </w:r>
      <w:r>
        <w:rPr>
          <w:rFonts w:hint="eastAsia" w:ascii="仿宋_GB2312" w:hAnsi="仿宋"/>
          <w:szCs w:val="32"/>
        </w:rPr>
        <w:t>万元，完成年初预算的</w:t>
      </w:r>
      <w:r>
        <w:rPr>
          <w:rFonts w:hint="eastAsia" w:ascii="仿宋_GB2312" w:hAnsi="仿宋"/>
          <w:szCs w:val="32"/>
          <w:lang w:val="en-US" w:eastAsia="zh-CN"/>
        </w:rPr>
        <w:t>585.63</w:t>
      </w:r>
      <w:r>
        <w:rPr>
          <w:rFonts w:hint="eastAsia" w:ascii="仿宋_GB2312" w:hAnsi="仿宋"/>
          <w:szCs w:val="32"/>
        </w:rPr>
        <w:t>%，决算数大于预算数的主要原因是</w:t>
      </w:r>
      <w:r>
        <w:rPr>
          <w:rFonts w:hint="eastAsia" w:ascii="仿宋_GB2312" w:hAnsi="仿宋"/>
          <w:color w:val="000000"/>
          <w:szCs w:val="32"/>
        </w:rPr>
        <w:t>财政年中追加离退休人员一次性奖金</w:t>
      </w:r>
      <w:r>
        <w:rPr>
          <w:rFonts w:hint="eastAsia" w:ascii="仿宋_GB2312" w:hAnsi="仿宋"/>
          <w:szCs w:val="32"/>
        </w:rPr>
        <w:t>。</w:t>
      </w:r>
    </w:p>
    <w:p>
      <w:pPr>
        <w:keepNext w:val="0"/>
        <w:keepLines w:val="0"/>
        <w:pageBreakBefore w:val="0"/>
        <w:spacing w:line="560" w:lineRule="exact"/>
        <w:ind w:firstLine="628"/>
        <w:rPr>
          <w:rFonts w:hint="eastAsia" w:ascii="仿宋_GB2312" w:hAnsi="仿宋"/>
          <w:color w:val="FF0000"/>
          <w:szCs w:val="32"/>
        </w:rPr>
      </w:pPr>
      <w:r>
        <w:rPr>
          <w:rFonts w:hint="eastAsia" w:ascii="仿宋_GB2312" w:hAnsi="仿宋"/>
          <w:szCs w:val="32"/>
          <w:lang w:val="en-US" w:eastAsia="zh-CN"/>
        </w:rPr>
        <w:t>10</w:t>
      </w:r>
      <w:r>
        <w:rPr>
          <w:rFonts w:hint="eastAsia" w:ascii="仿宋_GB2312" w:hAnsi="仿宋"/>
          <w:szCs w:val="32"/>
        </w:rPr>
        <w:t>．</w:t>
      </w:r>
      <w:r>
        <w:rPr>
          <w:rFonts w:hint="eastAsia" w:ascii="仿宋_GB2312" w:hAnsi="仿宋"/>
          <w:b/>
          <w:szCs w:val="32"/>
          <w:lang w:eastAsia="zh-CN"/>
        </w:rPr>
        <w:t>社会保障和就业服务</w:t>
      </w:r>
      <w:r>
        <w:rPr>
          <w:rFonts w:hint="eastAsia" w:ascii="仿宋_GB2312" w:hAnsi="仿宋"/>
          <w:b/>
          <w:szCs w:val="32"/>
        </w:rPr>
        <w:t>（类）</w:t>
      </w:r>
      <w:r>
        <w:rPr>
          <w:rFonts w:hint="eastAsia" w:ascii="仿宋_GB2312" w:hAnsi="仿宋"/>
          <w:b/>
          <w:szCs w:val="32"/>
          <w:lang w:eastAsia="zh-CN"/>
        </w:rPr>
        <w:t>行政事业单位养老支出</w:t>
      </w:r>
      <w:r>
        <w:rPr>
          <w:rFonts w:hint="eastAsia" w:ascii="仿宋_GB2312" w:hAnsi="仿宋"/>
          <w:b/>
          <w:szCs w:val="32"/>
        </w:rPr>
        <w:t>（款）</w:t>
      </w:r>
      <w:r>
        <w:rPr>
          <w:rFonts w:hint="eastAsia" w:ascii="仿宋_GB2312" w:hAnsi="仿宋"/>
          <w:b/>
          <w:szCs w:val="32"/>
          <w:lang w:eastAsia="zh-CN"/>
        </w:rPr>
        <w:t>机关事业单位基本养老保险缴费支出</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93.21</w:t>
      </w:r>
      <w:r>
        <w:rPr>
          <w:rFonts w:hint="eastAsia" w:ascii="仿宋_GB2312" w:hAnsi="仿宋"/>
          <w:szCs w:val="32"/>
        </w:rPr>
        <w:t>万元，支出决算为</w:t>
      </w:r>
      <w:r>
        <w:rPr>
          <w:rFonts w:hint="eastAsia" w:ascii="仿宋_GB2312" w:hAnsi="仿宋"/>
          <w:szCs w:val="32"/>
          <w:lang w:val="en-US" w:eastAsia="zh-CN"/>
        </w:rPr>
        <w:t>110.67</w:t>
      </w:r>
      <w:r>
        <w:rPr>
          <w:rFonts w:hint="eastAsia" w:ascii="仿宋_GB2312" w:hAnsi="仿宋"/>
          <w:szCs w:val="32"/>
        </w:rPr>
        <w:t>万元，完成年初预算的</w:t>
      </w:r>
      <w:r>
        <w:rPr>
          <w:rFonts w:hint="eastAsia" w:ascii="仿宋_GB2312" w:hAnsi="仿宋"/>
          <w:szCs w:val="32"/>
          <w:lang w:val="en-US" w:eastAsia="zh-CN"/>
        </w:rPr>
        <w:t>118.73</w:t>
      </w:r>
      <w:r>
        <w:rPr>
          <w:rFonts w:hint="eastAsia" w:ascii="仿宋_GB2312" w:hAnsi="仿宋"/>
          <w:szCs w:val="32"/>
        </w:rPr>
        <w:t>%</w:t>
      </w:r>
      <w:r>
        <w:rPr>
          <w:rFonts w:hint="eastAsia" w:ascii="仿宋_GB2312" w:hAnsi="仿宋"/>
          <w:szCs w:val="32"/>
          <w:lang w:val="en-US" w:eastAsia="zh-CN"/>
        </w:rPr>
        <w:t>,决算数大于预算数的主要原因</w:t>
      </w:r>
      <w:r>
        <w:rPr>
          <w:rFonts w:hint="eastAsia" w:ascii="仿宋_GB2312" w:hAnsi="仿宋"/>
          <w:color w:val="000000"/>
          <w:szCs w:val="32"/>
          <w:lang w:eastAsia="zh-CN"/>
        </w:rPr>
        <w:t>国库支付中心人员养老保险支出预算在国库支付中心安排，而决算反映在局本级。</w:t>
      </w:r>
    </w:p>
    <w:p>
      <w:pPr>
        <w:keepNext w:val="0"/>
        <w:keepLines w:val="0"/>
        <w:pageBreakBefore w:val="0"/>
        <w:spacing w:line="560" w:lineRule="exact"/>
        <w:ind w:firstLine="628"/>
        <w:rPr>
          <w:rFonts w:hint="eastAsia" w:ascii="仿宋_GB2312" w:hAnsi="仿宋"/>
          <w:szCs w:val="32"/>
        </w:rPr>
      </w:pPr>
      <w:r>
        <w:rPr>
          <w:rFonts w:hint="eastAsia" w:ascii="仿宋_GB2312" w:hAnsi="仿宋"/>
          <w:szCs w:val="32"/>
          <w:lang w:val="en-US" w:eastAsia="zh-CN"/>
        </w:rPr>
        <w:t>11</w:t>
      </w:r>
      <w:r>
        <w:rPr>
          <w:rFonts w:hint="eastAsia" w:ascii="仿宋_GB2312" w:hAnsi="仿宋"/>
          <w:szCs w:val="32"/>
        </w:rPr>
        <w:t>．</w:t>
      </w:r>
      <w:r>
        <w:rPr>
          <w:rFonts w:hint="eastAsia" w:ascii="仿宋_GB2312" w:hAnsi="仿宋"/>
          <w:b/>
          <w:szCs w:val="32"/>
          <w:lang w:eastAsia="zh-CN"/>
        </w:rPr>
        <w:t>社会保障和就业服务</w:t>
      </w:r>
      <w:r>
        <w:rPr>
          <w:rFonts w:hint="eastAsia" w:ascii="仿宋_GB2312" w:hAnsi="仿宋"/>
          <w:b/>
          <w:szCs w:val="32"/>
        </w:rPr>
        <w:t>（类）</w:t>
      </w:r>
      <w:r>
        <w:rPr>
          <w:rFonts w:hint="eastAsia" w:ascii="仿宋_GB2312" w:hAnsi="仿宋"/>
          <w:b/>
          <w:szCs w:val="32"/>
          <w:lang w:eastAsia="zh-CN"/>
        </w:rPr>
        <w:t>行政事业单位养老支出</w:t>
      </w:r>
      <w:r>
        <w:rPr>
          <w:rFonts w:hint="eastAsia" w:ascii="仿宋_GB2312" w:hAnsi="仿宋"/>
          <w:b/>
          <w:szCs w:val="32"/>
        </w:rPr>
        <w:t>（款）</w:t>
      </w:r>
      <w:r>
        <w:rPr>
          <w:rFonts w:hint="eastAsia" w:ascii="仿宋_GB2312" w:hAnsi="仿宋"/>
          <w:b/>
          <w:szCs w:val="32"/>
          <w:lang w:eastAsia="zh-CN"/>
        </w:rPr>
        <w:t>机关事业单位职业年金缴费支出</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1.7</w:t>
      </w:r>
      <w:r>
        <w:rPr>
          <w:rFonts w:hint="eastAsia" w:ascii="仿宋_GB2312" w:hAnsi="仿宋"/>
          <w:szCs w:val="32"/>
        </w:rPr>
        <w:t>万元，支出决算为</w:t>
      </w:r>
      <w:r>
        <w:rPr>
          <w:rFonts w:hint="eastAsia" w:ascii="仿宋_GB2312" w:hAnsi="仿宋"/>
          <w:szCs w:val="32"/>
          <w:lang w:val="en-US" w:eastAsia="zh-CN"/>
        </w:rPr>
        <w:t>11.95</w:t>
      </w:r>
      <w:r>
        <w:rPr>
          <w:rFonts w:hint="eastAsia" w:ascii="仿宋_GB2312" w:hAnsi="仿宋"/>
          <w:szCs w:val="32"/>
        </w:rPr>
        <w:t>万元，完成年初预算的</w:t>
      </w:r>
      <w:r>
        <w:rPr>
          <w:rFonts w:hint="eastAsia" w:ascii="仿宋_GB2312" w:hAnsi="仿宋"/>
          <w:szCs w:val="32"/>
          <w:lang w:val="en-US" w:eastAsia="zh-CN"/>
        </w:rPr>
        <w:t>702.94</w:t>
      </w:r>
      <w:r>
        <w:rPr>
          <w:rFonts w:hint="eastAsia" w:ascii="仿宋_GB2312" w:hAnsi="仿宋"/>
          <w:szCs w:val="32"/>
        </w:rPr>
        <w:t>%，决算数大于预算数的主要原因是年中追加当年退休人员单位应缴年金。</w:t>
      </w:r>
    </w:p>
    <w:p>
      <w:pPr>
        <w:keepNext w:val="0"/>
        <w:keepLines w:val="0"/>
        <w:pageBreakBefore w:val="0"/>
        <w:spacing w:line="560" w:lineRule="exact"/>
        <w:ind w:firstLine="628"/>
        <w:rPr>
          <w:rFonts w:hint="eastAsia" w:ascii="仿宋_GB2312" w:hAnsi="仿宋"/>
          <w:szCs w:val="32"/>
        </w:rPr>
      </w:pPr>
      <w:r>
        <w:rPr>
          <w:rFonts w:hint="eastAsia" w:ascii="仿宋_GB2312" w:hAnsi="仿宋"/>
          <w:szCs w:val="32"/>
          <w:lang w:val="en-US" w:eastAsia="zh-CN"/>
        </w:rPr>
        <w:t>12</w:t>
      </w:r>
      <w:r>
        <w:rPr>
          <w:rFonts w:hint="eastAsia" w:ascii="仿宋_GB2312" w:hAnsi="仿宋"/>
          <w:szCs w:val="32"/>
        </w:rPr>
        <w:t>．</w:t>
      </w:r>
      <w:r>
        <w:rPr>
          <w:rFonts w:hint="eastAsia" w:ascii="仿宋_GB2312" w:hAnsi="仿宋"/>
          <w:b/>
          <w:szCs w:val="32"/>
          <w:lang w:eastAsia="zh-CN"/>
        </w:rPr>
        <w:t>卫生健康支出</w:t>
      </w:r>
      <w:r>
        <w:rPr>
          <w:rFonts w:hint="eastAsia" w:ascii="仿宋_GB2312" w:hAnsi="仿宋"/>
          <w:b/>
          <w:szCs w:val="32"/>
        </w:rPr>
        <w:t>（类）</w:t>
      </w:r>
      <w:r>
        <w:rPr>
          <w:rFonts w:hint="eastAsia" w:ascii="仿宋_GB2312" w:hAnsi="仿宋"/>
          <w:b/>
          <w:szCs w:val="32"/>
          <w:lang w:eastAsia="zh-CN"/>
        </w:rPr>
        <w:t>行政事业单位医疗</w:t>
      </w:r>
      <w:r>
        <w:rPr>
          <w:rFonts w:hint="eastAsia" w:ascii="仿宋_GB2312" w:hAnsi="仿宋"/>
          <w:b/>
          <w:szCs w:val="32"/>
        </w:rPr>
        <w:t>（款）</w:t>
      </w:r>
      <w:r>
        <w:rPr>
          <w:rFonts w:hint="eastAsia" w:ascii="仿宋_GB2312" w:hAnsi="仿宋"/>
          <w:b/>
          <w:szCs w:val="32"/>
          <w:lang w:eastAsia="zh-CN"/>
        </w:rPr>
        <w:t>行政单位医疗</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45.87</w:t>
      </w:r>
      <w:r>
        <w:rPr>
          <w:rFonts w:hint="eastAsia" w:ascii="仿宋_GB2312" w:hAnsi="仿宋"/>
          <w:szCs w:val="32"/>
        </w:rPr>
        <w:t>万元，支出决算为</w:t>
      </w:r>
      <w:r>
        <w:rPr>
          <w:rFonts w:hint="eastAsia" w:ascii="仿宋_GB2312" w:hAnsi="仿宋"/>
          <w:szCs w:val="32"/>
          <w:lang w:val="en-US" w:eastAsia="zh-CN"/>
        </w:rPr>
        <w:t>53.17</w:t>
      </w:r>
      <w:r>
        <w:rPr>
          <w:rFonts w:hint="eastAsia" w:ascii="仿宋_GB2312" w:hAnsi="仿宋"/>
          <w:szCs w:val="32"/>
        </w:rPr>
        <w:t>万元，完成年初预算的</w:t>
      </w:r>
      <w:r>
        <w:rPr>
          <w:rFonts w:hint="eastAsia" w:ascii="仿宋_GB2312" w:hAnsi="仿宋"/>
          <w:szCs w:val="32"/>
          <w:lang w:val="en-US" w:eastAsia="zh-CN"/>
        </w:rPr>
        <w:t>115.91</w:t>
      </w:r>
      <w:r>
        <w:rPr>
          <w:rFonts w:hint="eastAsia" w:ascii="仿宋_GB2312" w:hAnsi="仿宋"/>
          <w:szCs w:val="32"/>
        </w:rPr>
        <w:t>%，</w:t>
      </w:r>
      <w:r>
        <w:rPr>
          <w:rFonts w:hint="eastAsia" w:ascii="仿宋_GB2312" w:hAnsi="仿宋"/>
          <w:szCs w:val="32"/>
          <w:lang w:val="en-US" w:eastAsia="zh-CN"/>
        </w:rPr>
        <w:t>决算数大于预算数的主要原因</w:t>
      </w:r>
      <w:r>
        <w:rPr>
          <w:rFonts w:hint="eastAsia" w:ascii="仿宋_GB2312" w:hAnsi="仿宋"/>
          <w:color w:val="000000"/>
          <w:szCs w:val="32"/>
          <w:lang w:eastAsia="zh-CN"/>
        </w:rPr>
        <w:t>国库支付中心人员医疗保险支出预算在国库支付中心安排，而决算反映在局本级</w:t>
      </w:r>
      <w:r>
        <w:rPr>
          <w:rFonts w:hint="eastAsia" w:ascii="仿宋_GB2312" w:hAnsi="仿宋"/>
          <w:szCs w:val="32"/>
          <w:lang w:eastAsia="zh-CN"/>
        </w:rPr>
        <w:t>。</w:t>
      </w:r>
    </w:p>
    <w:p>
      <w:pPr>
        <w:keepNext w:val="0"/>
        <w:keepLines w:val="0"/>
        <w:pageBreakBefore w:val="0"/>
        <w:spacing w:line="560" w:lineRule="exact"/>
        <w:ind w:firstLine="628"/>
        <w:rPr>
          <w:rFonts w:hint="eastAsia" w:ascii="仿宋_GB2312" w:hAnsi="仿宋"/>
          <w:color w:val="000000"/>
          <w:szCs w:val="32"/>
        </w:rPr>
      </w:pPr>
      <w:r>
        <w:rPr>
          <w:rFonts w:hint="eastAsia" w:ascii="仿宋_GB2312" w:hAnsi="仿宋"/>
          <w:color w:val="000000"/>
          <w:szCs w:val="32"/>
          <w:lang w:val="en-US" w:eastAsia="zh-CN"/>
        </w:rPr>
        <w:t>13</w:t>
      </w:r>
      <w:r>
        <w:rPr>
          <w:rFonts w:hint="eastAsia" w:ascii="仿宋_GB2312" w:hAnsi="仿宋"/>
          <w:color w:val="000000"/>
          <w:szCs w:val="32"/>
        </w:rPr>
        <w:t>．</w:t>
      </w:r>
      <w:r>
        <w:rPr>
          <w:rFonts w:hint="eastAsia" w:ascii="仿宋_GB2312" w:hAnsi="仿宋"/>
          <w:b/>
          <w:color w:val="000000"/>
          <w:szCs w:val="32"/>
          <w:lang w:eastAsia="zh-CN"/>
        </w:rPr>
        <w:t>卫生健康支出</w:t>
      </w:r>
      <w:r>
        <w:rPr>
          <w:rFonts w:hint="eastAsia" w:ascii="仿宋_GB2312" w:hAnsi="仿宋"/>
          <w:b/>
          <w:color w:val="000000"/>
          <w:szCs w:val="32"/>
        </w:rPr>
        <w:t>（类）</w:t>
      </w:r>
      <w:r>
        <w:rPr>
          <w:rFonts w:hint="eastAsia" w:ascii="仿宋_GB2312" w:hAnsi="仿宋"/>
          <w:b/>
          <w:color w:val="000000"/>
          <w:szCs w:val="32"/>
          <w:lang w:eastAsia="zh-CN"/>
        </w:rPr>
        <w:t>行政事业单位医疗</w:t>
      </w:r>
      <w:r>
        <w:rPr>
          <w:rFonts w:hint="eastAsia" w:ascii="仿宋_GB2312" w:hAnsi="仿宋"/>
          <w:b/>
          <w:color w:val="000000"/>
          <w:szCs w:val="32"/>
        </w:rPr>
        <w:t>（款）</w:t>
      </w:r>
      <w:r>
        <w:rPr>
          <w:rFonts w:hint="eastAsia" w:ascii="仿宋_GB2312" w:hAnsi="仿宋"/>
          <w:b/>
          <w:color w:val="000000"/>
          <w:szCs w:val="32"/>
          <w:lang w:eastAsia="zh-CN"/>
        </w:rPr>
        <w:t>公务员医疗补助（</w:t>
      </w:r>
      <w:r>
        <w:rPr>
          <w:rFonts w:hint="eastAsia" w:ascii="仿宋_GB2312" w:hAnsi="仿宋"/>
          <w:b/>
          <w:color w:val="000000"/>
          <w:szCs w:val="32"/>
        </w:rPr>
        <w:t>项）</w:t>
      </w:r>
      <w:r>
        <w:rPr>
          <w:rFonts w:hint="eastAsia" w:ascii="仿宋_GB2312" w:hAnsi="仿宋"/>
          <w:color w:val="000000"/>
          <w:szCs w:val="32"/>
        </w:rPr>
        <w:t>年初预算为</w:t>
      </w:r>
      <w:r>
        <w:rPr>
          <w:rFonts w:hint="eastAsia" w:ascii="仿宋_GB2312" w:hAnsi="仿宋"/>
          <w:color w:val="000000"/>
          <w:szCs w:val="32"/>
          <w:lang w:val="en-US" w:eastAsia="zh-CN"/>
        </w:rPr>
        <w:t>24.9</w:t>
      </w:r>
      <w:r>
        <w:rPr>
          <w:rFonts w:hint="eastAsia" w:ascii="仿宋_GB2312" w:hAnsi="仿宋"/>
          <w:color w:val="000000"/>
          <w:szCs w:val="32"/>
        </w:rPr>
        <w:t>万元，支出决算为</w:t>
      </w:r>
      <w:r>
        <w:rPr>
          <w:rFonts w:hint="eastAsia" w:ascii="仿宋_GB2312" w:hAnsi="仿宋"/>
          <w:color w:val="000000"/>
          <w:szCs w:val="32"/>
          <w:lang w:val="en-US" w:eastAsia="zh-CN"/>
        </w:rPr>
        <w:t>23.24</w:t>
      </w:r>
      <w:r>
        <w:rPr>
          <w:rFonts w:hint="eastAsia" w:ascii="仿宋_GB2312" w:hAnsi="仿宋"/>
          <w:color w:val="000000"/>
          <w:szCs w:val="32"/>
        </w:rPr>
        <w:t>万元，完成年初预算的</w:t>
      </w:r>
      <w:r>
        <w:rPr>
          <w:rFonts w:hint="eastAsia" w:ascii="仿宋_GB2312" w:hAnsi="仿宋"/>
          <w:color w:val="000000"/>
          <w:szCs w:val="32"/>
          <w:lang w:val="en-US" w:eastAsia="zh-CN"/>
        </w:rPr>
        <w:t>93.33</w:t>
      </w:r>
      <w:r>
        <w:rPr>
          <w:rFonts w:hint="eastAsia" w:ascii="仿宋_GB2312" w:hAnsi="仿宋"/>
          <w:color w:val="000000"/>
          <w:szCs w:val="32"/>
        </w:rPr>
        <w:t>%，决算数</w:t>
      </w:r>
      <w:r>
        <w:rPr>
          <w:rFonts w:hint="eastAsia" w:ascii="仿宋_GB2312" w:hAnsi="仿宋"/>
          <w:color w:val="000000"/>
          <w:szCs w:val="32"/>
          <w:lang w:eastAsia="zh-CN"/>
        </w:rPr>
        <w:t>小</w:t>
      </w:r>
      <w:r>
        <w:rPr>
          <w:rFonts w:hint="eastAsia" w:ascii="仿宋_GB2312" w:hAnsi="仿宋"/>
          <w:color w:val="000000"/>
          <w:szCs w:val="32"/>
        </w:rPr>
        <w:t>于预算数的主要原因是</w:t>
      </w:r>
      <w:r>
        <w:rPr>
          <w:rFonts w:hint="eastAsia" w:ascii="仿宋_GB2312" w:hAnsi="仿宋"/>
          <w:color w:val="000000"/>
          <w:szCs w:val="32"/>
          <w:lang w:eastAsia="zh-CN"/>
        </w:rPr>
        <w:t>部分公务员医疗补助支出从单位定额公务费中列支</w:t>
      </w:r>
      <w:r>
        <w:rPr>
          <w:rFonts w:hint="eastAsia" w:ascii="仿宋_GB2312" w:hAnsi="仿宋"/>
          <w:color w:val="000000"/>
          <w:szCs w:val="32"/>
        </w:rPr>
        <w:t>。</w:t>
      </w:r>
    </w:p>
    <w:p>
      <w:pPr>
        <w:keepNext w:val="0"/>
        <w:keepLines w:val="0"/>
        <w:pageBreakBefore w:val="0"/>
        <w:spacing w:line="560" w:lineRule="exact"/>
        <w:ind w:firstLine="628"/>
        <w:rPr>
          <w:rFonts w:hint="eastAsia" w:ascii="仿宋_GB2312" w:hAnsi="仿宋"/>
          <w:szCs w:val="32"/>
        </w:rPr>
      </w:pPr>
      <w:r>
        <w:rPr>
          <w:rFonts w:hint="eastAsia" w:ascii="仿宋_GB2312" w:hAnsi="仿宋"/>
          <w:szCs w:val="32"/>
          <w:lang w:val="en-US" w:eastAsia="zh-CN"/>
        </w:rPr>
        <w:t>14</w:t>
      </w:r>
      <w:r>
        <w:rPr>
          <w:rFonts w:hint="eastAsia" w:ascii="仿宋_GB2312" w:hAnsi="仿宋"/>
          <w:szCs w:val="32"/>
        </w:rPr>
        <w:t>．</w:t>
      </w:r>
      <w:r>
        <w:rPr>
          <w:rFonts w:hint="eastAsia" w:ascii="仿宋_GB2312" w:hAnsi="仿宋"/>
          <w:b/>
          <w:szCs w:val="32"/>
          <w:lang w:eastAsia="zh-CN"/>
        </w:rPr>
        <w:t>城乡社区支出</w:t>
      </w:r>
      <w:r>
        <w:rPr>
          <w:rFonts w:hint="eastAsia" w:ascii="仿宋_GB2312" w:hAnsi="仿宋"/>
          <w:b/>
          <w:szCs w:val="32"/>
        </w:rPr>
        <w:t>（类）</w:t>
      </w:r>
      <w:r>
        <w:rPr>
          <w:rFonts w:hint="eastAsia" w:ascii="仿宋_GB2312" w:hAnsi="仿宋"/>
          <w:b/>
          <w:szCs w:val="32"/>
          <w:lang w:eastAsia="zh-CN"/>
        </w:rPr>
        <w:t>城乡社区规划与管理</w:t>
      </w:r>
      <w:r>
        <w:rPr>
          <w:rFonts w:hint="eastAsia" w:ascii="仿宋_GB2312" w:hAnsi="仿宋"/>
          <w:b/>
          <w:szCs w:val="32"/>
        </w:rPr>
        <w:t>（款）</w:t>
      </w:r>
      <w:r>
        <w:rPr>
          <w:rFonts w:hint="eastAsia" w:ascii="仿宋_GB2312" w:hAnsi="仿宋"/>
          <w:b/>
          <w:szCs w:val="32"/>
          <w:lang w:eastAsia="zh-CN"/>
        </w:rPr>
        <w:t>城乡社区规划与管理（</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20</w:t>
      </w:r>
      <w:r>
        <w:rPr>
          <w:rFonts w:hint="eastAsia" w:ascii="仿宋_GB2312" w:hAnsi="仿宋"/>
          <w:szCs w:val="32"/>
        </w:rPr>
        <w:t>万元，决算数</w:t>
      </w:r>
      <w:r>
        <w:rPr>
          <w:rFonts w:hint="eastAsia" w:ascii="仿宋_GB2312" w:hAnsi="仿宋"/>
          <w:szCs w:val="32"/>
          <w:lang w:eastAsia="zh-CN"/>
        </w:rPr>
        <w:t>大于</w:t>
      </w:r>
      <w:r>
        <w:rPr>
          <w:rFonts w:hint="eastAsia" w:ascii="仿宋_GB2312" w:hAnsi="仿宋"/>
          <w:szCs w:val="32"/>
        </w:rPr>
        <w:t>预算数的主要原因是</w:t>
      </w:r>
      <w:r>
        <w:rPr>
          <w:rFonts w:hint="eastAsia" w:ascii="仿宋_GB2312" w:hAnsi="仿宋"/>
          <w:szCs w:val="32"/>
          <w:lang w:eastAsia="zh-CN"/>
        </w:rPr>
        <w:t>年中追</w:t>
      </w:r>
      <w:r>
        <w:rPr>
          <w:rFonts w:hint="eastAsia" w:ascii="仿宋_GB2312" w:hAnsi="仿宋"/>
          <w:szCs w:val="32"/>
          <w:lang w:val="en-US" w:eastAsia="zh-CN"/>
        </w:rPr>
        <w:t>加城维费资金</w:t>
      </w:r>
      <w:r>
        <w:rPr>
          <w:rFonts w:hint="eastAsia" w:ascii="仿宋_GB2312" w:hAnsi="仿宋"/>
          <w:szCs w:val="32"/>
        </w:rPr>
        <w:t>。</w:t>
      </w:r>
    </w:p>
    <w:p>
      <w:pPr>
        <w:keepNext w:val="0"/>
        <w:keepLines w:val="0"/>
        <w:pageBreakBefore w:val="0"/>
        <w:spacing w:line="560" w:lineRule="exact"/>
        <w:ind w:firstLine="628"/>
        <w:rPr>
          <w:rFonts w:hint="eastAsia" w:ascii="仿宋_GB2312" w:hAnsi="仿宋"/>
          <w:szCs w:val="32"/>
        </w:rPr>
      </w:pPr>
      <w:r>
        <w:rPr>
          <w:rFonts w:hint="eastAsia" w:ascii="仿宋_GB2312" w:hAnsi="仿宋"/>
          <w:szCs w:val="32"/>
          <w:lang w:val="en-US" w:eastAsia="zh-CN"/>
        </w:rPr>
        <w:t>15</w:t>
      </w:r>
      <w:r>
        <w:rPr>
          <w:rFonts w:hint="eastAsia" w:ascii="仿宋_GB2312" w:hAnsi="仿宋"/>
          <w:szCs w:val="32"/>
        </w:rPr>
        <w:t>．</w:t>
      </w:r>
      <w:r>
        <w:rPr>
          <w:rFonts w:hint="eastAsia" w:ascii="仿宋_GB2312" w:hAnsi="仿宋"/>
          <w:b/>
          <w:szCs w:val="32"/>
          <w:lang w:eastAsia="zh-CN"/>
        </w:rPr>
        <w:t>住房保障支出</w:t>
      </w:r>
      <w:r>
        <w:rPr>
          <w:rFonts w:hint="eastAsia" w:ascii="仿宋_GB2312" w:hAnsi="仿宋"/>
          <w:b/>
          <w:szCs w:val="32"/>
        </w:rPr>
        <w:t>（类）</w:t>
      </w:r>
      <w:r>
        <w:rPr>
          <w:rFonts w:hint="eastAsia" w:ascii="仿宋_GB2312" w:hAnsi="仿宋"/>
          <w:b/>
          <w:szCs w:val="32"/>
          <w:lang w:eastAsia="zh-CN"/>
        </w:rPr>
        <w:t>住房改革支出</w:t>
      </w:r>
      <w:r>
        <w:rPr>
          <w:rFonts w:hint="eastAsia" w:ascii="仿宋_GB2312" w:hAnsi="仿宋"/>
          <w:b/>
          <w:szCs w:val="32"/>
        </w:rPr>
        <w:t>（款）</w:t>
      </w:r>
      <w:r>
        <w:rPr>
          <w:rFonts w:hint="eastAsia" w:ascii="仿宋_GB2312" w:hAnsi="仿宋"/>
          <w:b/>
          <w:szCs w:val="32"/>
          <w:lang w:eastAsia="zh-CN"/>
        </w:rPr>
        <w:t>住房公积金（</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70.05</w:t>
      </w:r>
      <w:r>
        <w:rPr>
          <w:rFonts w:hint="eastAsia" w:ascii="仿宋_GB2312" w:hAnsi="仿宋"/>
          <w:szCs w:val="32"/>
        </w:rPr>
        <w:t>万元，支出决算为</w:t>
      </w:r>
      <w:r>
        <w:rPr>
          <w:rFonts w:hint="eastAsia" w:ascii="仿宋_GB2312" w:hAnsi="仿宋"/>
          <w:szCs w:val="32"/>
          <w:lang w:val="en-US" w:eastAsia="zh-CN"/>
        </w:rPr>
        <w:t>126.28</w:t>
      </w:r>
      <w:r>
        <w:rPr>
          <w:rFonts w:hint="eastAsia" w:ascii="仿宋_GB2312" w:hAnsi="仿宋"/>
          <w:szCs w:val="32"/>
        </w:rPr>
        <w:t>万元，完成年初预算的</w:t>
      </w:r>
      <w:r>
        <w:rPr>
          <w:rFonts w:hint="eastAsia" w:ascii="仿宋_GB2312" w:hAnsi="仿宋"/>
          <w:szCs w:val="32"/>
          <w:lang w:val="en-US" w:eastAsia="zh-CN"/>
        </w:rPr>
        <w:t>180.27</w:t>
      </w:r>
      <w:r>
        <w:rPr>
          <w:rFonts w:hint="eastAsia" w:ascii="仿宋_GB2312" w:hAnsi="仿宋"/>
          <w:szCs w:val="32"/>
        </w:rPr>
        <w:t>%，决算数</w:t>
      </w:r>
      <w:r>
        <w:rPr>
          <w:rFonts w:hint="eastAsia" w:ascii="仿宋_GB2312" w:hAnsi="仿宋"/>
          <w:szCs w:val="32"/>
          <w:lang w:eastAsia="zh-CN"/>
        </w:rPr>
        <w:t>大于</w:t>
      </w:r>
      <w:r>
        <w:rPr>
          <w:rFonts w:hint="eastAsia" w:ascii="仿宋_GB2312" w:hAnsi="仿宋"/>
          <w:szCs w:val="32"/>
        </w:rPr>
        <w:t>预算数的主要原因</w:t>
      </w:r>
      <w:r>
        <w:rPr>
          <w:rFonts w:hint="eastAsia" w:ascii="仿宋_GB2312" w:hAnsi="仿宋"/>
          <w:szCs w:val="32"/>
          <w:lang w:eastAsia="zh-CN"/>
        </w:rPr>
        <w:t>：一是财政年中追加单位为职工缴纳的一次性奖金公积金；二是</w:t>
      </w:r>
      <w:r>
        <w:rPr>
          <w:rFonts w:hint="eastAsia" w:ascii="仿宋_GB2312" w:hAnsi="仿宋"/>
          <w:color w:val="000000"/>
          <w:szCs w:val="32"/>
          <w:lang w:eastAsia="zh-CN"/>
        </w:rPr>
        <w:t>国库支付中心人员公积金支出预算在国库支付中心安排，而决算反映在局本级</w:t>
      </w:r>
      <w:r>
        <w:rPr>
          <w:rFonts w:hint="eastAsia" w:ascii="仿宋_GB2312" w:hAnsi="仿宋"/>
          <w:szCs w:val="32"/>
        </w:rPr>
        <w:t>。</w:t>
      </w:r>
    </w:p>
    <w:p>
      <w:pPr>
        <w:ind w:firstLine="628"/>
        <w:rPr>
          <w:rFonts w:hint="eastAsia" w:ascii="黑体" w:hAnsi="仿宋" w:eastAsia="黑体"/>
          <w:szCs w:val="32"/>
        </w:rPr>
      </w:pPr>
      <w:r>
        <w:rPr>
          <w:rFonts w:hint="eastAsia" w:ascii="黑体" w:hAnsi="仿宋" w:eastAsia="黑体"/>
          <w:szCs w:val="32"/>
        </w:rPr>
        <w:t>六、一般公共预算财政拨款基本支出决算情况说明</w:t>
      </w:r>
    </w:p>
    <w:p>
      <w:pPr>
        <w:keepNext w:val="0"/>
        <w:keepLines w:val="0"/>
        <w:pageBreakBefore w:val="0"/>
        <w:spacing w:line="560" w:lineRule="exact"/>
        <w:ind w:firstLine="628"/>
        <w:rPr>
          <w:rFonts w:hint="eastAsia" w:ascii="黑体" w:hAnsi="仿宋" w:eastAsia="黑体"/>
          <w:szCs w:val="32"/>
        </w:rPr>
      </w:pPr>
      <w:r>
        <w:rPr>
          <w:rFonts w:hint="eastAsia" w:ascii="仿宋_GB2312" w:hAnsi="仿宋"/>
          <w:szCs w:val="32"/>
        </w:rPr>
        <w:t>2020年度财政拨款基本支出</w:t>
      </w:r>
      <w:r>
        <w:rPr>
          <w:rFonts w:hint="eastAsia" w:ascii="仿宋_GB2312" w:hAnsi="仿宋"/>
          <w:szCs w:val="32"/>
          <w:lang w:val="en-US" w:eastAsia="zh-CN"/>
        </w:rPr>
        <w:t>1643.46</w:t>
      </w:r>
      <w:r>
        <w:rPr>
          <w:rFonts w:hint="eastAsia" w:ascii="仿宋_GB2312" w:hAnsi="仿宋"/>
          <w:szCs w:val="32"/>
        </w:rPr>
        <w:t>万元，其中</w:t>
      </w:r>
      <w:r>
        <w:rPr>
          <w:rFonts w:hint="eastAsia" w:ascii="仿宋_GB2312" w:hAnsi="仿宋"/>
          <w:color w:val="000000"/>
          <w:szCs w:val="32"/>
        </w:rPr>
        <w:t>：人员经费</w:t>
      </w:r>
      <w:r>
        <w:rPr>
          <w:rFonts w:hint="eastAsia" w:ascii="仿宋_GB2312" w:hAnsi="仿宋"/>
          <w:color w:val="000000"/>
          <w:szCs w:val="32"/>
          <w:lang w:val="en-US" w:eastAsia="zh-CN"/>
        </w:rPr>
        <w:t>1527.59</w:t>
      </w:r>
      <w:r>
        <w:rPr>
          <w:rFonts w:hint="eastAsia" w:ascii="仿宋_GB2312" w:hAnsi="仿宋"/>
          <w:color w:val="000000"/>
          <w:szCs w:val="32"/>
        </w:rPr>
        <w:t>万元，主要包括:基本工资、津贴补贴、奖金、</w:t>
      </w:r>
      <w:r>
        <w:rPr>
          <w:rFonts w:hint="eastAsia" w:ascii="仿宋_GB2312" w:hAnsi="仿宋"/>
          <w:szCs w:val="32"/>
        </w:rPr>
        <w:t>绩效工资、机关事业单位基本养老保险费、职业年金缴费、职工基本医疗保险缴费、公务员医疗补助缴费、其他社会保障缴费、住房公积金、其他工资福利支出、离休费、退休费、生活补助</w:t>
      </w:r>
      <w:r>
        <w:rPr>
          <w:rFonts w:hint="eastAsia" w:ascii="仿宋_GB2312" w:hAnsi="仿宋"/>
          <w:szCs w:val="32"/>
          <w:lang w:eastAsia="zh-CN"/>
        </w:rPr>
        <w:t>、</w:t>
      </w:r>
      <w:r>
        <w:rPr>
          <w:rFonts w:hint="eastAsia" w:ascii="仿宋_GB2312" w:hAnsi="仿宋"/>
          <w:szCs w:val="32"/>
        </w:rPr>
        <w:t>医疗费补助、奖励金、其他</w:t>
      </w:r>
      <w:r>
        <w:rPr>
          <w:rFonts w:hint="eastAsia" w:ascii="仿宋_GB2312" w:hAnsi="仿宋"/>
          <w:szCs w:val="32"/>
          <w:lang w:eastAsia="zh-CN"/>
        </w:rPr>
        <w:t>对</w:t>
      </w:r>
      <w:r>
        <w:rPr>
          <w:rFonts w:hint="eastAsia" w:ascii="仿宋_GB2312" w:hAnsi="仿宋"/>
          <w:szCs w:val="32"/>
        </w:rPr>
        <w:t>个人和家庭的补助支出；公用经费</w:t>
      </w:r>
      <w:r>
        <w:rPr>
          <w:rFonts w:hint="eastAsia" w:ascii="仿宋_GB2312" w:hAnsi="仿宋"/>
          <w:szCs w:val="32"/>
          <w:lang w:val="en-US" w:eastAsia="zh-CN"/>
        </w:rPr>
        <w:t>115.87</w:t>
      </w:r>
      <w:r>
        <w:rPr>
          <w:rFonts w:hint="eastAsia" w:ascii="仿宋_GB2312" w:hAnsi="仿宋"/>
          <w:szCs w:val="32"/>
        </w:rPr>
        <w:t>万元，主要包括：办公费、印刷费、手续费、邮电费、差旅费、维修（护）费、会议费、培训费、公务接待费、劳务费、工会经费、其他交通费用、其他商品服务支出</w:t>
      </w:r>
      <w:r>
        <w:rPr>
          <w:rFonts w:hint="eastAsia" w:ascii="仿宋_GB2312" w:hAnsi="仿宋"/>
          <w:szCs w:val="32"/>
          <w:lang w:eastAsia="zh-CN"/>
        </w:rPr>
        <w:t>等。</w:t>
      </w:r>
    </w:p>
    <w:p>
      <w:pPr>
        <w:numPr>
          <w:ilvl w:val="0"/>
          <w:numId w:val="1"/>
        </w:numPr>
        <w:ind w:firstLine="628"/>
        <w:rPr>
          <w:rFonts w:hint="eastAsia" w:ascii="黑体" w:hAnsi="黑体" w:eastAsia="黑体"/>
          <w:szCs w:val="32"/>
        </w:rPr>
      </w:pPr>
      <w:r>
        <w:rPr>
          <w:rFonts w:hint="eastAsia" w:ascii="黑体" w:hAnsi="黑体" w:eastAsia="黑体"/>
          <w:szCs w:val="32"/>
        </w:rPr>
        <w:t>政府性基金财政拨款收入支出决算情况说明</w:t>
      </w:r>
    </w:p>
    <w:p>
      <w:pPr>
        <w:keepNext w:val="0"/>
        <w:keepLines w:val="0"/>
        <w:pageBreakBefore w:val="0"/>
        <w:spacing w:line="560" w:lineRule="exact"/>
        <w:ind w:firstLine="628"/>
        <w:rPr>
          <w:rFonts w:hint="eastAsia" w:ascii="黑体" w:hAnsi="黑体" w:eastAsia="黑体"/>
          <w:szCs w:val="32"/>
        </w:rPr>
      </w:pPr>
      <w:r>
        <w:rPr>
          <w:rFonts w:hint="eastAsia" w:ascii="仿宋" w:hAnsi="仿宋" w:eastAsia="仿宋" w:cs="仿宋"/>
          <w:szCs w:val="32"/>
        </w:rPr>
        <w:t>2020年度</w:t>
      </w:r>
      <w:r>
        <w:rPr>
          <w:rFonts w:hint="eastAsia" w:ascii="仿宋" w:hAnsi="仿宋" w:eastAsia="仿宋" w:cs="仿宋"/>
          <w:szCs w:val="32"/>
          <w:lang w:eastAsia="zh-CN"/>
        </w:rPr>
        <w:t>淮南市财政局</w:t>
      </w:r>
      <w:r>
        <w:rPr>
          <w:rFonts w:hint="eastAsia" w:ascii="仿宋" w:hAnsi="仿宋" w:eastAsia="仿宋" w:cs="仿宋"/>
          <w:szCs w:val="32"/>
          <w:lang w:val="en-US" w:eastAsia="zh-CN"/>
        </w:rPr>
        <w:t>(本级）</w:t>
      </w:r>
      <w:r>
        <w:rPr>
          <w:rFonts w:hint="eastAsia" w:ascii="仿宋" w:hAnsi="仿宋" w:eastAsia="仿宋" w:cs="仿宋"/>
          <w:szCs w:val="32"/>
        </w:rPr>
        <w:t>没有政府性基金收入，也没有使用政府性基金安排的支出。</w:t>
      </w:r>
    </w:p>
    <w:p>
      <w:pPr>
        <w:numPr>
          <w:ilvl w:val="0"/>
          <w:numId w:val="1"/>
        </w:numPr>
        <w:ind w:left="0" w:firstLine="628"/>
        <w:rPr>
          <w:rFonts w:hint="eastAsia" w:ascii="黑体" w:hAnsi="黑体" w:eastAsia="黑体"/>
          <w:szCs w:val="32"/>
        </w:rPr>
      </w:pPr>
      <w:r>
        <w:rPr>
          <w:rFonts w:hint="eastAsia" w:ascii="黑体" w:hAnsi="黑体" w:eastAsia="黑体"/>
          <w:szCs w:val="32"/>
        </w:rPr>
        <w:t>国有资本经营预算财政拨款支出情况说明</w:t>
      </w:r>
    </w:p>
    <w:p>
      <w:pPr>
        <w:keepNext w:val="0"/>
        <w:keepLines w:val="0"/>
        <w:pageBreakBefore w:val="0"/>
        <w:spacing w:line="560" w:lineRule="exact"/>
        <w:ind w:firstLine="628"/>
        <w:rPr>
          <w:rFonts w:hint="eastAsia" w:ascii="黑体" w:hAnsi="黑体" w:eastAsia="黑体"/>
          <w:szCs w:val="32"/>
        </w:rPr>
      </w:pPr>
      <w:r>
        <w:rPr>
          <w:rFonts w:hint="eastAsia" w:ascii="仿宋" w:hAnsi="仿宋" w:eastAsia="仿宋" w:cs="仿宋"/>
          <w:color w:val="000000"/>
          <w:szCs w:val="32"/>
          <w:highlight w:val="none"/>
        </w:rPr>
        <w:t>2020年度</w:t>
      </w:r>
      <w:r>
        <w:rPr>
          <w:rFonts w:hint="eastAsia" w:ascii="仿宋" w:hAnsi="仿宋" w:eastAsia="仿宋" w:cs="仿宋"/>
          <w:color w:val="000000"/>
          <w:szCs w:val="32"/>
          <w:highlight w:val="none"/>
          <w:lang w:eastAsia="zh-CN"/>
        </w:rPr>
        <w:t>淮南市财政局（本级）</w:t>
      </w:r>
      <w:r>
        <w:rPr>
          <w:rFonts w:hint="eastAsia" w:ascii="仿宋" w:hAnsi="仿宋" w:eastAsia="仿宋" w:cs="仿宋"/>
          <w:szCs w:val="32"/>
          <w:highlight w:val="none"/>
        </w:rPr>
        <w:t>没有国有资本经营预算财政拨款收入，也没有使用国有资本经营预算财政拨款安排的支出。</w:t>
      </w:r>
    </w:p>
    <w:p>
      <w:pPr>
        <w:spacing w:line="600" w:lineRule="exact"/>
        <w:ind w:firstLine="628"/>
        <w:rPr>
          <w:rFonts w:hint="eastAsia" w:ascii="黑体" w:hAnsi="黑体" w:eastAsia="黑体"/>
          <w:szCs w:val="32"/>
        </w:rPr>
      </w:pPr>
      <w:r>
        <w:rPr>
          <w:rFonts w:hint="eastAsia" w:ascii="黑体" w:hAnsi="黑体" w:eastAsia="黑体"/>
          <w:szCs w:val="32"/>
        </w:rPr>
        <w:t>九、其他重要事项情况说明</w:t>
      </w:r>
    </w:p>
    <w:p>
      <w:pPr>
        <w:spacing w:line="600" w:lineRule="exact"/>
        <w:ind w:firstLine="628"/>
        <w:rPr>
          <w:rFonts w:hint="eastAsia" w:ascii="仿宋_GB2312" w:hAnsi="楷体"/>
          <w:b/>
          <w:szCs w:val="32"/>
        </w:rPr>
      </w:pPr>
      <w:r>
        <w:rPr>
          <w:rFonts w:hint="eastAsia" w:ascii="仿宋_GB2312" w:hAnsi="楷体"/>
          <w:b/>
          <w:szCs w:val="32"/>
        </w:rPr>
        <w:t>（一）机关运行经费支出情况。</w:t>
      </w:r>
    </w:p>
    <w:p>
      <w:pPr>
        <w:spacing w:line="600" w:lineRule="exact"/>
        <w:ind w:firstLine="628"/>
        <w:rPr>
          <w:rFonts w:hint="eastAsia" w:ascii="仿宋_GB2312" w:hAnsi="仿宋"/>
          <w:szCs w:val="32"/>
        </w:rPr>
      </w:pPr>
      <w:r>
        <w:rPr>
          <w:rFonts w:hint="eastAsia" w:ascii="仿宋_GB2312" w:hAnsi="仿宋"/>
          <w:szCs w:val="32"/>
        </w:rPr>
        <w:t>2020年度，</w:t>
      </w:r>
      <w:r>
        <w:rPr>
          <w:rFonts w:hint="eastAsia" w:ascii="仿宋_GB2312" w:hAnsi="仿宋"/>
          <w:szCs w:val="32"/>
          <w:lang w:eastAsia="zh-CN"/>
        </w:rPr>
        <w:t>淮南市财政局（本级）</w:t>
      </w:r>
      <w:r>
        <w:rPr>
          <w:rFonts w:hint="eastAsia" w:ascii="仿宋_GB2312" w:hAnsi="仿宋"/>
          <w:szCs w:val="32"/>
        </w:rPr>
        <w:t>机关运行经费支出</w:t>
      </w:r>
      <w:r>
        <w:rPr>
          <w:rFonts w:hint="eastAsia" w:ascii="仿宋_GB2312" w:hAnsi="仿宋"/>
          <w:szCs w:val="32"/>
          <w:lang w:val="en-US" w:eastAsia="zh-CN"/>
        </w:rPr>
        <w:t>115.87</w:t>
      </w:r>
      <w:r>
        <w:rPr>
          <w:rFonts w:hint="eastAsia" w:ascii="仿宋_GB2312" w:hAnsi="仿宋"/>
          <w:szCs w:val="32"/>
        </w:rPr>
        <w:t>万元，比2019年增加</w:t>
      </w:r>
      <w:r>
        <w:rPr>
          <w:rFonts w:hint="eastAsia" w:ascii="仿宋_GB2312" w:hAnsi="仿宋"/>
          <w:szCs w:val="32"/>
          <w:lang w:val="en-US" w:eastAsia="zh-CN"/>
        </w:rPr>
        <w:t>1.52</w:t>
      </w:r>
      <w:r>
        <w:rPr>
          <w:rFonts w:hint="eastAsia" w:ascii="仿宋_GB2312" w:hAnsi="仿宋"/>
          <w:szCs w:val="32"/>
        </w:rPr>
        <w:t>万元，增长</w:t>
      </w:r>
      <w:r>
        <w:rPr>
          <w:rFonts w:hint="eastAsia" w:ascii="仿宋_GB2312" w:hAnsi="仿宋"/>
          <w:szCs w:val="32"/>
          <w:lang w:val="en-US" w:eastAsia="zh-CN"/>
        </w:rPr>
        <w:t>1.33</w:t>
      </w:r>
      <w:r>
        <w:rPr>
          <w:rFonts w:hint="eastAsia" w:ascii="仿宋_GB2312" w:hAnsi="仿宋"/>
          <w:szCs w:val="32"/>
        </w:rPr>
        <w:t>%，主要原因是</w:t>
      </w:r>
      <w:r>
        <w:rPr>
          <w:rFonts w:hint="eastAsia" w:ascii="仿宋_GB2312" w:hAnsi="仿宋"/>
          <w:szCs w:val="32"/>
          <w:lang w:val="en-US" w:eastAsia="zh-CN"/>
        </w:rPr>
        <w:t>2020年度增加购买疫情防控物质、全市预算绩效管理及政府会计准则制度培训等支出。</w:t>
      </w:r>
    </w:p>
    <w:p>
      <w:pPr>
        <w:spacing w:line="600" w:lineRule="exact"/>
        <w:ind w:firstLine="628"/>
        <w:rPr>
          <w:rFonts w:hint="eastAsia" w:ascii="仿宋_GB2312" w:hAnsi="楷体"/>
          <w:b/>
          <w:szCs w:val="32"/>
        </w:rPr>
      </w:pPr>
      <w:r>
        <w:rPr>
          <w:rFonts w:hint="eastAsia" w:ascii="仿宋_GB2312" w:hAnsi="楷体"/>
          <w:b/>
          <w:szCs w:val="32"/>
        </w:rPr>
        <w:t>（二）政府采购支出情况。</w:t>
      </w:r>
    </w:p>
    <w:p>
      <w:pPr>
        <w:spacing w:line="600" w:lineRule="exact"/>
        <w:ind w:firstLine="628"/>
        <w:rPr>
          <w:rFonts w:hint="eastAsia" w:ascii="仿宋_GB2312" w:hAnsi="楷体"/>
          <w:szCs w:val="32"/>
        </w:rPr>
      </w:pPr>
      <w:r>
        <w:rPr>
          <w:rFonts w:hint="eastAsia" w:ascii="仿宋_GB2312" w:hAnsi="仿宋"/>
          <w:szCs w:val="32"/>
        </w:rPr>
        <w:t xml:space="preserve">2020年度， </w:t>
      </w:r>
      <w:r>
        <w:rPr>
          <w:rFonts w:hint="eastAsia" w:ascii="仿宋_GB2312" w:hAnsi="仿宋"/>
          <w:szCs w:val="32"/>
          <w:lang w:eastAsia="zh-CN"/>
        </w:rPr>
        <w:t>淮南市财政局（本级）</w:t>
      </w:r>
      <w:r>
        <w:rPr>
          <w:rFonts w:hint="eastAsia" w:ascii="仿宋_GB2312" w:hAnsi="仿宋"/>
          <w:szCs w:val="32"/>
        </w:rPr>
        <w:t>政府采购支出总额</w:t>
      </w:r>
      <w:r>
        <w:rPr>
          <w:rFonts w:hint="eastAsia" w:ascii="仿宋_GB2312" w:hAnsi="仿宋"/>
          <w:szCs w:val="32"/>
          <w:lang w:val="en-US" w:eastAsia="zh-CN"/>
        </w:rPr>
        <w:t>179.26</w:t>
      </w:r>
      <w:r>
        <w:rPr>
          <w:rFonts w:hint="eastAsia" w:ascii="仿宋_GB2312" w:hAnsi="仿宋"/>
          <w:szCs w:val="32"/>
        </w:rPr>
        <w:t>万元，其中：政府采购货物支出</w:t>
      </w:r>
      <w:r>
        <w:rPr>
          <w:rFonts w:hint="eastAsia" w:ascii="仿宋_GB2312" w:hAnsi="仿宋"/>
          <w:szCs w:val="32"/>
          <w:lang w:val="en-US" w:eastAsia="zh-CN"/>
        </w:rPr>
        <w:t>103.14</w:t>
      </w:r>
      <w:r>
        <w:rPr>
          <w:rFonts w:hint="eastAsia" w:ascii="仿宋_GB2312" w:hAnsi="仿宋"/>
          <w:szCs w:val="32"/>
        </w:rPr>
        <w:t>万元、政府采购服务支出</w:t>
      </w:r>
      <w:r>
        <w:rPr>
          <w:rFonts w:hint="eastAsia" w:ascii="仿宋_GB2312" w:hAnsi="仿宋"/>
          <w:szCs w:val="32"/>
          <w:lang w:val="en-US" w:eastAsia="zh-CN"/>
        </w:rPr>
        <w:t>76.12</w:t>
      </w:r>
      <w:r>
        <w:rPr>
          <w:rFonts w:hint="eastAsia" w:ascii="仿宋_GB2312" w:hAnsi="仿宋"/>
          <w:szCs w:val="32"/>
        </w:rPr>
        <w:t>万元。授予中小企业合同金额</w:t>
      </w:r>
      <w:r>
        <w:rPr>
          <w:rFonts w:hint="eastAsia" w:ascii="仿宋_GB2312" w:hAnsi="仿宋"/>
          <w:szCs w:val="32"/>
          <w:lang w:val="en-US" w:eastAsia="zh-CN"/>
        </w:rPr>
        <w:t>76.12</w:t>
      </w:r>
      <w:r>
        <w:rPr>
          <w:rFonts w:hint="eastAsia" w:ascii="仿宋_GB2312" w:hAnsi="仿宋"/>
          <w:szCs w:val="32"/>
        </w:rPr>
        <w:t>万元，占政府采购支出总额的</w:t>
      </w:r>
      <w:r>
        <w:rPr>
          <w:rFonts w:hint="eastAsia" w:ascii="仿宋_GB2312" w:hAnsi="仿宋"/>
          <w:szCs w:val="32"/>
          <w:lang w:val="en-US" w:eastAsia="zh-CN"/>
        </w:rPr>
        <w:t>42.46</w:t>
      </w:r>
      <w:r>
        <w:rPr>
          <w:rFonts w:hint="eastAsia" w:ascii="仿宋_GB2312" w:hAnsi="仿宋"/>
          <w:szCs w:val="32"/>
        </w:rPr>
        <w:t>%，其中：授予小微企业合同金额</w:t>
      </w:r>
      <w:r>
        <w:rPr>
          <w:rFonts w:hint="eastAsia" w:ascii="仿宋_GB2312" w:hAnsi="仿宋"/>
          <w:szCs w:val="32"/>
          <w:lang w:val="en-US" w:eastAsia="zh-CN"/>
        </w:rPr>
        <w:t>76.12</w:t>
      </w:r>
      <w:r>
        <w:rPr>
          <w:rFonts w:hint="eastAsia" w:ascii="仿宋_GB2312" w:hAnsi="仿宋"/>
          <w:szCs w:val="32"/>
        </w:rPr>
        <w:t>万元，占政府采购支出总额的</w:t>
      </w:r>
      <w:r>
        <w:rPr>
          <w:rFonts w:hint="eastAsia" w:ascii="仿宋_GB2312" w:hAnsi="仿宋"/>
          <w:szCs w:val="32"/>
          <w:lang w:val="en-US" w:eastAsia="zh-CN"/>
        </w:rPr>
        <w:t>42.46</w:t>
      </w:r>
      <w:r>
        <w:rPr>
          <w:rFonts w:hint="eastAsia" w:ascii="仿宋_GB2312" w:hAnsi="仿宋"/>
          <w:szCs w:val="32"/>
        </w:rPr>
        <w:t>%。</w:t>
      </w:r>
    </w:p>
    <w:p>
      <w:pPr>
        <w:spacing w:line="600" w:lineRule="exact"/>
        <w:ind w:firstLine="628"/>
        <w:rPr>
          <w:rFonts w:hint="eastAsia" w:ascii="仿宋_GB2312" w:hAnsi="楷体"/>
          <w:b/>
          <w:szCs w:val="32"/>
        </w:rPr>
      </w:pPr>
      <w:r>
        <w:rPr>
          <w:rFonts w:hint="eastAsia" w:ascii="仿宋_GB2312" w:hAnsi="楷体"/>
          <w:b/>
          <w:szCs w:val="32"/>
        </w:rPr>
        <w:t>（三）国有资产占有使用情况。</w:t>
      </w:r>
    </w:p>
    <w:p>
      <w:pPr>
        <w:spacing w:line="600" w:lineRule="exact"/>
        <w:ind w:firstLine="628"/>
        <w:rPr>
          <w:rFonts w:hint="eastAsia" w:ascii="仿宋_GB2312" w:hAnsi="仿宋" w:eastAsia="仿宋_GB2312"/>
          <w:szCs w:val="32"/>
          <w:highlight w:val="none"/>
          <w:lang w:eastAsia="zh-CN"/>
        </w:rPr>
      </w:pPr>
      <w:r>
        <w:rPr>
          <w:rFonts w:hint="eastAsia" w:ascii="仿宋_GB2312" w:hAnsi="楷体"/>
          <w:szCs w:val="32"/>
        </w:rPr>
        <w:t>截至2020年12月31日，</w:t>
      </w:r>
      <w:r>
        <w:rPr>
          <w:rFonts w:hint="eastAsia" w:ascii="仿宋_GB2312" w:hAnsi="楷体"/>
          <w:szCs w:val="32"/>
          <w:lang w:eastAsia="zh-CN"/>
        </w:rPr>
        <w:t>淮南市财政局（本级）共有车辆</w:t>
      </w:r>
      <w:r>
        <w:rPr>
          <w:rFonts w:hint="eastAsia" w:ascii="仿宋_GB2312" w:hAnsi="楷体"/>
          <w:szCs w:val="32"/>
          <w:lang w:val="en-US" w:eastAsia="zh-CN"/>
        </w:rPr>
        <w:t>0辆，</w:t>
      </w:r>
      <w:r>
        <w:rPr>
          <w:rFonts w:hint="eastAsia" w:ascii="仿宋_GB2312" w:hAnsi="仿宋"/>
          <w:szCs w:val="32"/>
        </w:rPr>
        <w:t>单价50万元以上的通用设备</w:t>
      </w:r>
      <w:r>
        <w:rPr>
          <w:rFonts w:hint="eastAsia" w:ascii="仿宋_GB2312" w:hAnsi="仿宋"/>
          <w:szCs w:val="32"/>
          <w:lang w:val="en-US" w:eastAsia="zh-CN"/>
        </w:rPr>
        <w:t>3</w:t>
      </w:r>
      <w:r>
        <w:rPr>
          <w:rFonts w:hint="eastAsia" w:ascii="仿宋_GB2312" w:hAnsi="仿宋"/>
          <w:szCs w:val="32"/>
        </w:rPr>
        <w:t>台（套），单价100万元以</w:t>
      </w:r>
      <w:r>
        <w:rPr>
          <w:rFonts w:hint="eastAsia" w:ascii="仿宋_GB2312" w:hAnsi="仿宋"/>
          <w:szCs w:val="32"/>
          <w:highlight w:val="none"/>
        </w:rPr>
        <w:t>上专用设备</w:t>
      </w:r>
      <w:r>
        <w:rPr>
          <w:rFonts w:hint="eastAsia" w:ascii="仿宋_GB2312" w:hAnsi="仿宋"/>
          <w:szCs w:val="32"/>
          <w:highlight w:val="none"/>
          <w:lang w:val="en-US" w:eastAsia="zh-CN"/>
        </w:rPr>
        <w:t>0</w:t>
      </w:r>
      <w:r>
        <w:rPr>
          <w:rFonts w:hint="eastAsia" w:ascii="仿宋_GB2312" w:hAnsi="仿宋"/>
          <w:szCs w:val="32"/>
          <w:highlight w:val="none"/>
        </w:rPr>
        <w:t>台（套）。</w:t>
      </w:r>
    </w:p>
    <w:p>
      <w:pPr>
        <w:spacing w:line="600" w:lineRule="exact"/>
        <w:ind w:firstLine="628"/>
        <w:rPr>
          <w:rFonts w:hint="eastAsia" w:ascii="仿宋_GB2312" w:hAnsi="仿宋"/>
          <w:b/>
          <w:bCs/>
          <w:color w:val="000000"/>
          <w:szCs w:val="32"/>
          <w:highlight w:val="none"/>
        </w:rPr>
      </w:pPr>
      <w:r>
        <w:rPr>
          <w:rFonts w:hint="eastAsia" w:ascii="仿宋_GB2312" w:hAnsi="仿宋"/>
          <w:color w:val="000000"/>
          <w:szCs w:val="32"/>
          <w:highlight w:val="none"/>
        </w:rPr>
        <w:t xml:space="preserve"> </w:t>
      </w:r>
      <w:r>
        <w:rPr>
          <w:rFonts w:hint="eastAsia" w:ascii="仿宋_GB2312" w:hAnsi="仿宋"/>
          <w:b/>
          <w:bCs/>
          <w:i/>
          <w:iCs/>
          <w:color w:val="000000"/>
          <w:szCs w:val="32"/>
          <w:highlight w:val="none"/>
        </w:rPr>
        <w:t xml:space="preserve"> </w:t>
      </w:r>
      <w:r>
        <w:rPr>
          <w:rFonts w:hint="eastAsia" w:ascii="仿宋_GB2312" w:hAnsi="仿宋"/>
          <w:color w:val="000000"/>
          <w:szCs w:val="32"/>
          <w:highlight w:val="none"/>
        </w:rPr>
        <w:t xml:space="preserve"> </w:t>
      </w:r>
      <w:r>
        <w:rPr>
          <w:rFonts w:hint="eastAsia" w:ascii="仿宋_GB2312" w:hAnsi="仿宋"/>
          <w:b/>
          <w:bCs/>
          <w:color w:val="000000"/>
          <w:szCs w:val="32"/>
          <w:highlight w:val="none"/>
        </w:rPr>
        <w:t>（四）关于2020年度预算绩效情况说明</w:t>
      </w:r>
    </w:p>
    <w:p>
      <w:pPr>
        <w:numPr>
          <w:ilvl w:val="0"/>
          <w:numId w:val="2"/>
        </w:numPr>
        <w:ind w:firstLine="628"/>
        <w:rPr>
          <w:rFonts w:hint="eastAsia" w:ascii="仿宋_GB2312" w:hAnsi="仿宋_GB2312" w:cs="仿宋_GB2312"/>
          <w:b/>
          <w:bCs/>
          <w:color w:val="000000"/>
          <w:szCs w:val="32"/>
          <w:highlight w:val="none"/>
        </w:rPr>
      </w:pPr>
      <w:r>
        <w:rPr>
          <w:rFonts w:hint="eastAsia" w:ascii="仿宋_GB2312" w:hAnsi="仿宋_GB2312" w:cs="仿宋_GB2312"/>
          <w:b/>
          <w:bCs/>
          <w:color w:val="000000"/>
          <w:szCs w:val="32"/>
          <w:highlight w:val="none"/>
        </w:rPr>
        <w:t>预算绩效管理工作开展情况</w:t>
      </w:r>
    </w:p>
    <w:p>
      <w:pPr>
        <w:keepNext w:val="0"/>
        <w:keepLines w:val="0"/>
        <w:pageBreakBefore w:val="0"/>
        <w:spacing w:line="560" w:lineRule="exact"/>
        <w:ind w:firstLine="628"/>
        <w:rPr>
          <w:rFonts w:ascii="仿宋_GB2312" w:hAnsi="仿宋_GB2312" w:cs="仿宋_GB2312"/>
          <w:szCs w:val="32"/>
          <w:highlight w:val="none"/>
          <w:lang w:val="en-US" w:eastAsia="zh-CN"/>
        </w:rPr>
      </w:pPr>
      <w:r>
        <w:rPr>
          <w:rFonts w:hint="eastAsia" w:ascii="仿宋_GB2312" w:hAnsi="仿宋_GB2312" w:cs="仿宋_GB2312"/>
          <w:szCs w:val="32"/>
          <w:highlight w:val="none"/>
        </w:rPr>
        <w:t>根据预算绩效管理要求，本</w:t>
      </w:r>
      <w:r>
        <w:rPr>
          <w:rFonts w:hint="eastAsia" w:ascii="仿宋_GB2312" w:hAnsi="仿宋_GB2312" w:cs="仿宋_GB2312"/>
          <w:szCs w:val="32"/>
          <w:highlight w:val="none"/>
          <w:lang w:eastAsia="zh-CN"/>
        </w:rPr>
        <w:t>单位</w:t>
      </w:r>
      <w:r>
        <w:rPr>
          <w:rFonts w:hint="eastAsia" w:ascii="仿宋_GB2312" w:hAnsi="仿宋_GB2312" w:cs="仿宋_GB2312"/>
          <w:szCs w:val="32"/>
          <w:highlight w:val="none"/>
        </w:rPr>
        <w:t>组织对</w:t>
      </w:r>
      <w:r>
        <w:rPr>
          <w:rFonts w:ascii="仿宋_GB2312" w:hAnsi="仿宋_GB2312" w:cs="仿宋_GB2312"/>
          <w:szCs w:val="32"/>
          <w:highlight w:val="none"/>
        </w:rPr>
        <w:t>2020</w:t>
      </w:r>
      <w:r>
        <w:rPr>
          <w:rFonts w:hint="eastAsia" w:ascii="仿宋_GB2312" w:hAnsi="仿宋_GB2312" w:cs="仿宋_GB2312"/>
          <w:szCs w:val="32"/>
          <w:highlight w:val="none"/>
        </w:rPr>
        <w:t>年度纳入</w:t>
      </w:r>
      <w:r>
        <w:rPr>
          <w:rFonts w:hint="eastAsia" w:ascii="仿宋_GB2312" w:hAnsi="仿宋_GB2312" w:cs="仿宋_GB2312"/>
          <w:szCs w:val="32"/>
          <w:highlight w:val="none"/>
          <w:lang w:eastAsia="zh-CN"/>
        </w:rPr>
        <w:t>单位</w:t>
      </w:r>
      <w:r>
        <w:rPr>
          <w:rFonts w:hint="eastAsia" w:ascii="仿宋_GB2312" w:hAnsi="仿宋_GB2312" w:cs="仿宋_GB2312"/>
          <w:szCs w:val="32"/>
          <w:highlight w:val="none"/>
        </w:rPr>
        <w:t>预算的项目支出全面开展了绩效自评，共</w:t>
      </w:r>
      <w:r>
        <w:rPr>
          <w:rFonts w:hint="eastAsia" w:ascii="仿宋_GB2312" w:hAnsi="仿宋_GB2312" w:cs="仿宋_GB2312"/>
          <w:szCs w:val="32"/>
          <w:highlight w:val="none"/>
          <w:lang w:val="en-US" w:eastAsia="zh-CN"/>
        </w:rPr>
        <w:t>4</w:t>
      </w:r>
      <w:r>
        <w:rPr>
          <w:rFonts w:hint="eastAsia" w:ascii="仿宋_GB2312" w:hAnsi="仿宋_GB2312" w:cs="仿宋_GB2312"/>
          <w:szCs w:val="32"/>
          <w:highlight w:val="none"/>
        </w:rPr>
        <w:t>个项目，涉及资金</w:t>
      </w:r>
      <w:r>
        <w:rPr>
          <w:rFonts w:hint="eastAsia" w:ascii="仿宋_GB2312" w:hAnsi="仿宋_GB2312" w:cs="仿宋_GB2312"/>
          <w:szCs w:val="32"/>
          <w:highlight w:val="none"/>
          <w:lang w:val="en-US" w:eastAsia="zh-CN"/>
        </w:rPr>
        <w:t>2617</w:t>
      </w:r>
      <w:r>
        <w:rPr>
          <w:rFonts w:hint="eastAsia" w:ascii="仿宋_GB2312" w:hAnsi="仿宋_GB2312" w:cs="仿宋_GB2312"/>
          <w:szCs w:val="32"/>
          <w:highlight w:val="none"/>
        </w:rPr>
        <w:t>万元，占项目预算总额的</w:t>
      </w:r>
      <w:r>
        <w:rPr>
          <w:rFonts w:hint="eastAsia" w:ascii="仿宋_GB2312" w:hAnsi="仿宋_GB2312" w:cs="仿宋_GB2312"/>
          <w:szCs w:val="32"/>
          <w:highlight w:val="none"/>
          <w:lang w:val="en-US" w:eastAsia="zh-CN"/>
        </w:rPr>
        <w:t>92.56</w:t>
      </w:r>
      <w:r>
        <w:rPr>
          <w:rFonts w:ascii="仿宋_GB2312" w:hAnsi="仿宋_GB2312" w:cs="仿宋_GB2312"/>
          <w:szCs w:val="32"/>
          <w:highlight w:val="none"/>
        </w:rPr>
        <w:t>%</w:t>
      </w:r>
      <w:r>
        <w:rPr>
          <w:rFonts w:hint="eastAsia" w:ascii="仿宋_GB2312" w:hAnsi="仿宋_GB2312" w:cs="仿宋_GB2312"/>
          <w:szCs w:val="32"/>
          <w:highlight w:val="none"/>
        </w:rPr>
        <w:t>。</w:t>
      </w:r>
      <w:r>
        <w:rPr>
          <w:rFonts w:hint="eastAsia" w:ascii="仿宋_GB2312" w:hAnsi="仿宋_GB2312" w:cs="仿宋_GB2312"/>
          <w:szCs w:val="32"/>
          <w:highlight w:val="none"/>
          <w:lang w:eastAsia="zh-CN"/>
        </w:rPr>
        <w:t>评价结果显示</w:t>
      </w:r>
      <w:r>
        <w:rPr>
          <w:rFonts w:hint="eastAsia" w:ascii="仿宋_GB2312" w:hAnsi="仿宋_GB2312" w:cs="仿宋_GB2312"/>
          <w:szCs w:val="32"/>
          <w:highlight w:val="none"/>
          <w:lang w:val="en-US" w:eastAsia="zh-CN"/>
        </w:rPr>
        <w:t>,项目立项单位职责管理,绩效目标合理,项目较好完成了目标任务,产生较好的经济效益和社会效益基本实现了年度绩效目标。</w:t>
      </w:r>
    </w:p>
    <w:p>
      <w:pPr>
        <w:keepNext w:val="0"/>
        <w:keepLines w:val="0"/>
        <w:pageBreakBefore w:val="0"/>
        <w:spacing w:line="560" w:lineRule="exact"/>
        <w:ind w:firstLine="628"/>
        <w:rPr>
          <w:rFonts w:ascii="仿宋_GB2312" w:hAnsi="仿宋_GB2312" w:eastAsia="仿宋_GB2312" w:cs="仿宋_GB2312"/>
          <w:szCs w:val="32"/>
          <w:highlight w:val="none"/>
          <w:lang w:val="en-US" w:eastAsia="zh-CN"/>
        </w:rPr>
      </w:pPr>
      <w:r>
        <w:rPr>
          <w:rFonts w:hint="eastAsia" w:ascii="仿宋_GB2312" w:hAnsi="仿宋_GB2312" w:cs="仿宋_GB2312"/>
          <w:szCs w:val="32"/>
          <w:highlight w:val="none"/>
        </w:rPr>
        <w:t>组织开展</w:t>
      </w:r>
      <w:r>
        <w:rPr>
          <w:rFonts w:ascii="仿宋_GB2312" w:hAnsi="仿宋_GB2312" w:cs="仿宋_GB2312"/>
          <w:szCs w:val="32"/>
          <w:highlight w:val="none"/>
        </w:rPr>
        <w:t>2020</w:t>
      </w:r>
      <w:r>
        <w:rPr>
          <w:rFonts w:hint="eastAsia" w:ascii="仿宋_GB2312" w:hAnsi="仿宋_GB2312" w:cs="仿宋_GB2312"/>
          <w:szCs w:val="32"/>
          <w:highlight w:val="none"/>
        </w:rPr>
        <w:t>年度</w:t>
      </w:r>
      <w:r>
        <w:rPr>
          <w:rFonts w:hint="eastAsia" w:ascii="仿宋_GB2312" w:hAnsi="仿宋_GB2312" w:cs="仿宋_GB2312"/>
          <w:szCs w:val="32"/>
          <w:highlight w:val="none"/>
          <w:lang w:eastAsia="zh-CN"/>
        </w:rPr>
        <w:t>单位</w:t>
      </w:r>
      <w:r>
        <w:rPr>
          <w:rFonts w:hint="eastAsia" w:ascii="仿宋_GB2312" w:hAnsi="仿宋_GB2312" w:cs="仿宋_GB2312"/>
          <w:szCs w:val="32"/>
          <w:highlight w:val="none"/>
        </w:rPr>
        <w:t>整体支出绩效自评。评价结果显示，</w:t>
      </w:r>
      <w:r>
        <w:rPr>
          <w:rFonts w:hint="eastAsia" w:ascii="仿宋_GB2312" w:hAnsi="仿宋_GB2312" w:cs="仿宋_GB2312"/>
          <w:szCs w:val="32"/>
          <w:highlight w:val="none"/>
          <w:lang w:eastAsia="zh-CN"/>
        </w:rPr>
        <w:t>淮南市财政局对预算绩效管理工作重视程度加强。从制定的绩效目标以及执行效果来看，淮南市财政局预算资金在产出、效益和满意度绩效指标方面均取得较好的执行效果，三公经费得到了有效控制，项目支出管理规范性整体较好。</w:t>
      </w:r>
    </w:p>
    <w:p>
      <w:pPr>
        <w:keepNext w:val="0"/>
        <w:keepLines w:val="0"/>
        <w:pageBreakBefore w:val="0"/>
        <w:spacing w:line="560" w:lineRule="exact"/>
        <w:ind w:firstLine="628"/>
        <w:rPr>
          <w:rFonts w:ascii="仿宋_GB2312" w:hAnsi="仿宋_GB2312" w:cs="仿宋_GB2312"/>
          <w:b/>
          <w:bCs/>
          <w:szCs w:val="32"/>
          <w:highlight w:val="none"/>
        </w:rPr>
      </w:pPr>
      <w:r>
        <w:rPr>
          <w:rFonts w:ascii="仿宋_GB2312" w:hAnsi="仿宋_GB2312" w:cs="仿宋_GB2312"/>
          <w:b/>
          <w:bCs/>
          <w:szCs w:val="32"/>
          <w:highlight w:val="none"/>
        </w:rPr>
        <w:t>2.</w:t>
      </w:r>
      <w:r>
        <w:rPr>
          <w:rFonts w:hint="eastAsia" w:ascii="仿宋_GB2312" w:hAnsi="仿宋_GB2312" w:cs="仿宋_GB2312"/>
          <w:b/>
          <w:bCs/>
          <w:szCs w:val="32"/>
          <w:highlight w:val="none"/>
        </w:rPr>
        <w:t>部门决算中项目绩效自评结果</w:t>
      </w:r>
    </w:p>
    <w:p>
      <w:pPr>
        <w:keepNext w:val="0"/>
        <w:keepLines w:val="0"/>
        <w:pageBreakBefore w:val="0"/>
        <w:spacing w:line="560" w:lineRule="exact"/>
        <w:ind w:firstLine="640"/>
        <w:rPr>
          <w:rFonts w:ascii="仿宋_GB2312" w:hAnsi="仿宋_GB2312" w:cs="仿宋_GB2312"/>
          <w:szCs w:val="32"/>
          <w:highlight w:val="none"/>
        </w:rPr>
      </w:pPr>
      <w:r>
        <w:rPr>
          <w:rFonts w:hint="eastAsia" w:ascii="仿宋_GB2312" w:hAnsi="仿宋"/>
          <w:szCs w:val="32"/>
          <w:highlight w:val="none"/>
        </w:rPr>
        <w:t>淮南市</w:t>
      </w:r>
      <w:r>
        <w:rPr>
          <w:rFonts w:hint="eastAsia" w:ascii="仿宋_GB2312" w:hAnsi="仿宋_GB2312" w:cs="仿宋_GB2312"/>
          <w:szCs w:val="32"/>
          <w:highlight w:val="none"/>
          <w:lang w:eastAsia="zh-CN"/>
        </w:rPr>
        <w:t>财政局</w:t>
      </w:r>
      <w:r>
        <w:rPr>
          <w:rFonts w:hint="eastAsia" w:ascii="仿宋_GB2312" w:hAnsi="仿宋_GB2312" w:cs="仿宋_GB2312"/>
          <w:szCs w:val="32"/>
          <w:highlight w:val="none"/>
        </w:rPr>
        <w:t>在</w:t>
      </w:r>
      <w:r>
        <w:rPr>
          <w:rFonts w:ascii="仿宋_GB2312" w:hAnsi="仿宋_GB2312" w:cs="仿宋_GB2312"/>
          <w:szCs w:val="32"/>
          <w:highlight w:val="none"/>
        </w:rPr>
        <w:t>2020</w:t>
      </w:r>
      <w:r>
        <w:rPr>
          <w:rFonts w:hint="eastAsia" w:ascii="仿宋_GB2312" w:hAnsi="仿宋_GB2312" w:cs="仿宋_GB2312"/>
          <w:szCs w:val="32"/>
          <w:highlight w:val="none"/>
        </w:rPr>
        <w:t>年度部门决算中公开</w:t>
      </w:r>
      <w:r>
        <w:rPr>
          <w:rFonts w:hint="eastAsia" w:ascii="仿宋_GB2312" w:hAnsi="仿宋_GB2312" w:cs="仿宋_GB2312"/>
          <w:b w:val="0"/>
          <w:bCs w:val="0"/>
          <w:szCs w:val="32"/>
          <w:highlight w:val="none"/>
        </w:rPr>
        <w:t>“</w:t>
      </w:r>
      <w:r>
        <w:rPr>
          <w:rFonts w:hint="eastAsia" w:ascii="仿宋_GB2312" w:hAnsi="仿宋_GB2312" w:cs="仿宋_GB2312"/>
          <w:b w:val="0"/>
          <w:bCs w:val="0"/>
          <w:szCs w:val="32"/>
          <w:highlight w:val="none"/>
          <w:lang w:eastAsia="zh-CN"/>
        </w:rPr>
        <w:t>政策性农业保险保费</w:t>
      </w:r>
      <w:r>
        <w:rPr>
          <w:rFonts w:hint="eastAsia" w:ascii="仿宋_GB2312" w:hAnsi="仿宋_GB2312" w:cs="仿宋_GB2312"/>
          <w:b w:val="0"/>
          <w:bCs w:val="0"/>
          <w:szCs w:val="32"/>
          <w:highlight w:val="none"/>
        </w:rPr>
        <w:t>”</w:t>
      </w:r>
      <w:r>
        <w:rPr>
          <w:rFonts w:hint="eastAsia" w:ascii="仿宋_GB2312" w:hAnsi="仿宋_GB2312" w:cs="仿宋_GB2312"/>
          <w:szCs w:val="32"/>
          <w:highlight w:val="none"/>
        </w:rPr>
        <w:t>等</w:t>
      </w:r>
      <w:r>
        <w:rPr>
          <w:rFonts w:hint="eastAsia" w:ascii="仿宋_GB2312" w:hAnsi="仿宋_GB2312" w:cs="仿宋_GB2312"/>
          <w:szCs w:val="32"/>
          <w:highlight w:val="none"/>
          <w:lang w:val="en-US" w:eastAsia="zh-CN"/>
        </w:rPr>
        <w:t>4</w:t>
      </w:r>
      <w:r>
        <w:rPr>
          <w:rFonts w:hint="eastAsia" w:ascii="仿宋_GB2312" w:hAnsi="仿宋_GB2312" w:cs="仿宋_GB2312"/>
          <w:szCs w:val="32"/>
          <w:highlight w:val="none"/>
        </w:rPr>
        <w:t>个项目绩效自评结果。</w:t>
      </w:r>
    </w:p>
    <w:p>
      <w:pPr>
        <w:spacing w:line="600" w:lineRule="exact"/>
        <w:ind w:firstLine="630"/>
        <w:rPr>
          <w:rFonts w:hint="eastAsia" w:ascii="仿宋" w:hAnsi="仿宋" w:eastAsia="仿宋" w:cs="仿宋"/>
          <w:szCs w:val="32"/>
        </w:rPr>
      </w:pPr>
      <w:r>
        <w:rPr>
          <w:rFonts w:hint="eastAsia" w:ascii="仿宋_GB2312" w:hAnsi="仿宋_GB2312" w:cs="仿宋_GB2312"/>
          <w:bCs/>
          <w:color w:val="000000"/>
          <w:szCs w:val="32"/>
          <w:highlight w:val="none"/>
          <w:lang w:eastAsia="zh-CN"/>
        </w:rPr>
        <w:t>“政策性农业保险保费补贴”</w:t>
      </w:r>
      <w:r>
        <w:rPr>
          <w:rFonts w:hint="eastAsia" w:ascii="仿宋_GB2312" w:hAnsi="仿宋_GB2312" w:cs="仿宋_GB2312"/>
          <w:bCs/>
          <w:color w:val="000000"/>
          <w:szCs w:val="32"/>
          <w:highlight w:val="none"/>
        </w:rPr>
        <w:t>项目绩效自评综述：根据年初设定的绩效目标，</w:t>
      </w:r>
      <w:r>
        <w:rPr>
          <w:rFonts w:hint="eastAsia" w:ascii="仿宋_GB2312" w:hAnsi="仿宋_GB2312" w:cs="仿宋_GB2312"/>
          <w:bCs/>
          <w:color w:val="000000"/>
          <w:szCs w:val="32"/>
          <w:highlight w:val="none"/>
          <w:lang w:eastAsia="zh-CN"/>
        </w:rPr>
        <w:t>“政策性农业保险保费补贴”</w:t>
      </w:r>
      <w:r>
        <w:rPr>
          <w:rFonts w:hint="eastAsia" w:ascii="仿宋_GB2312" w:hAnsi="仿宋_GB2312" w:cs="仿宋_GB2312"/>
          <w:bCs/>
          <w:color w:val="000000"/>
          <w:szCs w:val="32"/>
          <w:highlight w:val="none"/>
        </w:rPr>
        <w:t>项目绩效自评得分为</w:t>
      </w:r>
      <w:r>
        <w:rPr>
          <w:rFonts w:hint="eastAsia" w:ascii="仿宋_GB2312" w:hAnsi="仿宋_GB2312" w:cs="仿宋_GB2312"/>
          <w:bCs/>
          <w:color w:val="000000"/>
          <w:szCs w:val="32"/>
          <w:highlight w:val="none"/>
          <w:lang w:val="en-US" w:eastAsia="zh-CN"/>
        </w:rPr>
        <w:t>98</w:t>
      </w:r>
      <w:r>
        <w:rPr>
          <w:rFonts w:hint="eastAsia" w:ascii="仿宋_GB2312" w:hAnsi="仿宋_GB2312" w:cs="仿宋_GB2312"/>
          <w:bCs/>
          <w:color w:val="000000"/>
          <w:szCs w:val="32"/>
          <w:highlight w:val="none"/>
        </w:rPr>
        <w:t>分。项目全年预算数为</w:t>
      </w:r>
      <w:r>
        <w:rPr>
          <w:rFonts w:hint="eastAsia" w:ascii="仿宋_GB2312" w:hAnsi="仿宋_GB2312" w:cs="仿宋_GB2312"/>
          <w:bCs/>
          <w:color w:val="000000"/>
          <w:szCs w:val="32"/>
          <w:highlight w:val="none"/>
          <w:lang w:val="en-US" w:eastAsia="zh-CN"/>
        </w:rPr>
        <w:t>1660</w:t>
      </w:r>
      <w:r>
        <w:rPr>
          <w:rFonts w:hint="eastAsia" w:ascii="仿宋_GB2312" w:hAnsi="仿宋_GB2312" w:cs="仿宋_GB2312"/>
          <w:bCs/>
          <w:color w:val="000000"/>
          <w:szCs w:val="32"/>
          <w:highlight w:val="none"/>
        </w:rPr>
        <w:t>万元，执行数为</w:t>
      </w:r>
      <w:r>
        <w:rPr>
          <w:rFonts w:hint="eastAsia" w:ascii="仿宋_GB2312" w:hAnsi="仿宋_GB2312" w:cs="仿宋_GB2312"/>
          <w:bCs/>
          <w:color w:val="000000"/>
          <w:szCs w:val="32"/>
          <w:highlight w:val="none"/>
          <w:lang w:val="en-US" w:eastAsia="zh-CN"/>
        </w:rPr>
        <w:t>1660</w:t>
      </w:r>
      <w:r>
        <w:rPr>
          <w:rFonts w:hint="eastAsia" w:ascii="仿宋_GB2312" w:hAnsi="仿宋_GB2312" w:cs="仿宋_GB2312"/>
          <w:bCs/>
          <w:color w:val="000000"/>
          <w:szCs w:val="32"/>
          <w:highlight w:val="none"/>
        </w:rPr>
        <w:t>万元，完成预算的</w:t>
      </w:r>
      <w:r>
        <w:rPr>
          <w:rFonts w:hint="eastAsia" w:ascii="仿宋_GB2312" w:hAnsi="仿宋_GB2312" w:cs="仿宋_GB2312"/>
          <w:bCs/>
          <w:color w:val="000000"/>
          <w:szCs w:val="32"/>
          <w:highlight w:val="none"/>
          <w:lang w:val="en-US" w:eastAsia="zh-CN"/>
        </w:rPr>
        <w:t>100</w:t>
      </w:r>
      <w:r>
        <w:rPr>
          <w:rFonts w:ascii="仿宋_GB2312" w:hAnsi="仿宋_GB2312" w:cs="仿宋_GB2312"/>
          <w:bCs/>
          <w:color w:val="000000"/>
          <w:szCs w:val="32"/>
          <w:highlight w:val="none"/>
        </w:rPr>
        <w:t>%</w:t>
      </w:r>
      <w:r>
        <w:rPr>
          <w:rFonts w:hint="eastAsia" w:ascii="仿宋_GB2312" w:hAnsi="仿宋_GB2312" w:cs="仿宋_GB2312"/>
          <w:bCs/>
          <w:color w:val="000000"/>
          <w:szCs w:val="32"/>
          <w:highlight w:val="none"/>
        </w:rPr>
        <w:t>。主要产出和效果：</w:t>
      </w:r>
      <w:r>
        <w:rPr>
          <w:rFonts w:hint="eastAsia" w:ascii="仿宋" w:hAnsi="仿宋" w:eastAsia="仿宋" w:cs="仿宋"/>
          <w:szCs w:val="32"/>
        </w:rPr>
        <w:t>：通过项目实施，为全市</w:t>
      </w:r>
      <w:r>
        <w:rPr>
          <w:rFonts w:hint="eastAsia" w:ascii="仿宋" w:hAnsi="仿宋" w:eastAsia="仿宋" w:cs="仿宋"/>
          <w:szCs w:val="32"/>
          <w:lang w:val="en-US" w:eastAsia="zh-CN"/>
        </w:rPr>
        <w:t>60</w:t>
      </w:r>
      <w:r>
        <w:rPr>
          <w:rFonts w:hint="eastAsia" w:ascii="仿宋" w:hAnsi="仿宋" w:eastAsia="仿宋" w:cs="仿宋"/>
          <w:szCs w:val="32"/>
        </w:rPr>
        <w:t>万户农户和规模经营主体提供了近</w:t>
      </w:r>
      <w:r>
        <w:rPr>
          <w:rFonts w:hint="eastAsia" w:ascii="仿宋" w:hAnsi="仿宋" w:eastAsia="仿宋" w:cs="仿宋"/>
          <w:szCs w:val="32"/>
          <w:lang w:val="en-US" w:eastAsia="zh-CN"/>
        </w:rPr>
        <w:t>20</w:t>
      </w:r>
      <w:r>
        <w:rPr>
          <w:rFonts w:hint="eastAsia" w:ascii="仿宋" w:hAnsi="仿宋" w:eastAsia="仿宋" w:cs="仿宋"/>
          <w:szCs w:val="32"/>
        </w:rPr>
        <w:t>亿元的风险保障，进一步扩大了农业保险政策受益面，使政策性农业保险成为脱贫攻坚的利器之一，切实发挥了政策性农业保险“稳定器”和“助推器”的作用，同时进一步提高了资金使用效益，我市政策性农业保险持续健康发展。发现的主要问题：我市农业保险保障水平不够高，工作机制需要进一步完善，服务能力不够强。下一步改进措施：要提高险种的范围，对特色保险加大补贴力度，做到愿保尽保。加强政策法规宣传，加强各类技术指导。</w:t>
      </w:r>
    </w:p>
    <w:p>
      <w:pPr>
        <w:spacing w:line="600" w:lineRule="exact"/>
        <w:ind w:firstLine="630"/>
        <w:rPr>
          <w:rFonts w:hint="eastAsia" w:ascii="仿宋" w:hAnsi="仿宋" w:eastAsia="仿宋" w:cs="仿宋"/>
          <w:szCs w:val="32"/>
          <w:lang w:eastAsia="zh-CN"/>
        </w:rPr>
      </w:pPr>
      <w:r>
        <w:rPr>
          <w:rFonts w:hint="eastAsia" w:ascii="仿宋_GB2312" w:hAnsi="仿宋_GB2312" w:cs="仿宋_GB2312"/>
          <w:bCs/>
          <w:color w:val="000000"/>
          <w:szCs w:val="32"/>
          <w:highlight w:val="none"/>
          <w:lang w:eastAsia="zh-CN"/>
        </w:rPr>
        <w:t>“农村公益事业财政奖补”</w:t>
      </w:r>
      <w:r>
        <w:rPr>
          <w:rFonts w:hint="eastAsia" w:ascii="仿宋_GB2312" w:hAnsi="仿宋_GB2312" w:cs="仿宋_GB2312"/>
          <w:bCs/>
          <w:color w:val="000000"/>
          <w:szCs w:val="32"/>
          <w:highlight w:val="none"/>
        </w:rPr>
        <w:t>项目绩效自评综述：根据年初设定的绩效目标，</w:t>
      </w:r>
      <w:r>
        <w:rPr>
          <w:rFonts w:hint="eastAsia" w:ascii="仿宋_GB2312" w:hAnsi="仿宋_GB2312" w:cs="仿宋_GB2312"/>
          <w:bCs/>
          <w:color w:val="000000"/>
          <w:szCs w:val="32"/>
          <w:highlight w:val="none"/>
          <w:lang w:eastAsia="zh-CN"/>
        </w:rPr>
        <w:t>“农村公益事业财政奖补”</w:t>
      </w:r>
      <w:r>
        <w:rPr>
          <w:rFonts w:hint="eastAsia" w:ascii="仿宋_GB2312" w:hAnsi="仿宋_GB2312" w:cs="仿宋_GB2312"/>
          <w:bCs/>
          <w:color w:val="000000"/>
          <w:szCs w:val="32"/>
          <w:highlight w:val="none"/>
        </w:rPr>
        <w:t>项目绩效自评得分为</w:t>
      </w:r>
      <w:r>
        <w:rPr>
          <w:rFonts w:hint="eastAsia" w:ascii="仿宋_GB2312" w:hAnsi="仿宋_GB2312" w:cs="仿宋_GB2312"/>
          <w:bCs/>
          <w:color w:val="000000"/>
          <w:szCs w:val="32"/>
          <w:highlight w:val="none"/>
          <w:lang w:val="en-US" w:eastAsia="zh-CN"/>
        </w:rPr>
        <w:t>81.25</w:t>
      </w:r>
      <w:r>
        <w:rPr>
          <w:rFonts w:hint="eastAsia" w:ascii="仿宋_GB2312" w:hAnsi="仿宋_GB2312" w:cs="仿宋_GB2312"/>
          <w:bCs/>
          <w:color w:val="000000"/>
          <w:szCs w:val="32"/>
          <w:highlight w:val="none"/>
        </w:rPr>
        <w:t>分。项目全年预算数为</w:t>
      </w:r>
      <w:r>
        <w:rPr>
          <w:rFonts w:hint="eastAsia" w:ascii="仿宋_GB2312" w:hAnsi="仿宋_GB2312" w:cs="仿宋_GB2312"/>
          <w:bCs/>
          <w:color w:val="000000"/>
          <w:szCs w:val="32"/>
          <w:highlight w:val="none"/>
          <w:lang w:val="en-US" w:eastAsia="zh-CN"/>
        </w:rPr>
        <w:t>710</w:t>
      </w:r>
      <w:r>
        <w:rPr>
          <w:rFonts w:hint="eastAsia" w:ascii="仿宋_GB2312" w:hAnsi="仿宋_GB2312" w:cs="仿宋_GB2312"/>
          <w:bCs/>
          <w:color w:val="000000"/>
          <w:szCs w:val="32"/>
          <w:highlight w:val="none"/>
        </w:rPr>
        <w:t>万元，执行数为</w:t>
      </w:r>
      <w:r>
        <w:rPr>
          <w:rFonts w:hint="eastAsia" w:ascii="仿宋_GB2312" w:hAnsi="仿宋_GB2312" w:cs="仿宋_GB2312"/>
          <w:bCs/>
          <w:color w:val="000000"/>
          <w:szCs w:val="32"/>
          <w:highlight w:val="none"/>
          <w:lang w:val="en-US" w:eastAsia="zh-CN"/>
        </w:rPr>
        <w:t>640</w:t>
      </w:r>
      <w:r>
        <w:rPr>
          <w:rFonts w:hint="eastAsia" w:ascii="仿宋_GB2312" w:hAnsi="仿宋_GB2312" w:cs="仿宋_GB2312"/>
          <w:bCs/>
          <w:color w:val="000000"/>
          <w:szCs w:val="32"/>
          <w:highlight w:val="none"/>
        </w:rPr>
        <w:t>万元，完成预算的</w:t>
      </w:r>
      <w:r>
        <w:rPr>
          <w:rFonts w:hint="eastAsia" w:ascii="仿宋_GB2312" w:hAnsi="仿宋_GB2312" w:cs="仿宋_GB2312"/>
          <w:bCs/>
          <w:color w:val="000000"/>
          <w:szCs w:val="32"/>
          <w:highlight w:val="none"/>
          <w:lang w:val="en-US" w:eastAsia="zh-CN"/>
        </w:rPr>
        <w:t>90.14</w:t>
      </w:r>
      <w:r>
        <w:rPr>
          <w:rFonts w:ascii="仿宋_GB2312" w:hAnsi="仿宋_GB2312" w:cs="仿宋_GB2312"/>
          <w:bCs/>
          <w:color w:val="000000"/>
          <w:szCs w:val="32"/>
          <w:highlight w:val="none"/>
        </w:rPr>
        <w:t>%</w:t>
      </w:r>
      <w:r>
        <w:rPr>
          <w:rFonts w:hint="eastAsia" w:ascii="仿宋_GB2312" w:hAnsi="仿宋_GB2312" w:cs="仿宋_GB2312"/>
          <w:bCs/>
          <w:color w:val="000000"/>
          <w:szCs w:val="32"/>
          <w:highlight w:val="none"/>
        </w:rPr>
        <w:t>。主要产出和效果：</w:t>
      </w:r>
      <w:r>
        <w:rPr>
          <w:rFonts w:hint="eastAsia" w:ascii="仿宋" w:hAnsi="仿宋" w:eastAsia="仿宋" w:cs="仿宋"/>
          <w:szCs w:val="32"/>
        </w:rPr>
        <w:t>：通过项目实施，</w:t>
      </w:r>
      <w:r>
        <w:rPr>
          <w:rFonts w:hint="eastAsia" w:ascii="仿宋" w:hAnsi="仿宋" w:eastAsia="仿宋" w:cs="仿宋"/>
          <w:szCs w:val="32"/>
          <w:lang w:eastAsia="zh-CN"/>
        </w:rPr>
        <w:t>使得村级公益事业发展水平有所提升，项目村基层党组织凝聚力有所增强</w:t>
      </w:r>
      <w:r>
        <w:rPr>
          <w:rFonts w:hint="eastAsia" w:ascii="仿宋" w:hAnsi="仿宋" w:eastAsia="仿宋" w:cs="仿宋"/>
          <w:szCs w:val="32"/>
        </w:rPr>
        <w:t>，</w:t>
      </w:r>
      <w:r>
        <w:rPr>
          <w:rFonts w:hint="eastAsia" w:ascii="仿宋" w:hAnsi="仿宋" w:eastAsia="仿宋" w:cs="仿宋"/>
          <w:szCs w:val="32"/>
          <w:lang w:eastAsia="zh-CN"/>
        </w:rPr>
        <w:t>农村人居环境有效改善。</w:t>
      </w:r>
      <w:r>
        <w:rPr>
          <w:rFonts w:hint="eastAsia" w:ascii="仿宋" w:hAnsi="仿宋" w:eastAsia="仿宋" w:cs="仿宋"/>
          <w:szCs w:val="32"/>
        </w:rPr>
        <w:t>发现的主要问题：</w:t>
      </w:r>
      <w:r>
        <w:rPr>
          <w:rFonts w:hint="eastAsia" w:ascii="仿宋" w:hAnsi="仿宋" w:eastAsia="仿宋" w:cs="仿宋"/>
          <w:szCs w:val="32"/>
          <w:lang w:eastAsia="zh-CN"/>
        </w:rPr>
        <w:t>实施过程中，存在预算未在年度内执行完毕。</w:t>
      </w:r>
      <w:r>
        <w:rPr>
          <w:rFonts w:hint="eastAsia" w:ascii="仿宋" w:hAnsi="仿宋" w:eastAsia="仿宋" w:cs="仿宋"/>
          <w:szCs w:val="32"/>
        </w:rPr>
        <w:t>下一步改进措施：</w:t>
      </w:r>
      <w:r>
        <w:rPr>
          <w:rFonts w:hint="eastAsia" w:ascii="仿宋" w:hAnsi="仿宋" w:eastAsia="仿宋" w:cs="仿宋"/>
          <w:szCs w:val="32"/>
          <w:lang w:eastAsia="zh-CN"/>
        </w:rPr>
        <w:t>积极会商有关科室，提高预算编制执行的精准性。</w:t>
      </w:r>
    </w:p>
    <w:p>
      <w:pPr>
        <w:spacing w:line="600" w:lineRule="exact"/>
        <w:ind w:firstLine="630"/>
        <w:rPr>
          <w:rFonts w:hint="eastAsia" w:ascii="仿宋" w:hAnsi="仿宋" w:eastAsia="仿宋" w:cs="仿宋"/>
          <w:color w:val="000000"/>
          <w:szCs w:val="32"/>
          <w:lang w:eastAsia="zh-CN"/>
        </w:rPr>
      </w:pPr>
      <w:r>
        <w:rPr>
          <w:rFonts w:hint="eastAsia" w:ascii="仿宋_GB2312" w:hAnsi="仿宋_GB2312" w:cs="仿宋_GB2312"/>
          <w:bCs/>
          <w:color w:val="000000"/>
          <w:szCs w:val="32"/>
          <w:highlight w:val="none"/>
          <w:lang w:eastAsia="zh-CN"/>
        </w:rPr>
        <w:t>“会计专业技术资格考试考务费”</w:t>
      </w:r>
      <w:r>
        <w:rPr>
          <w:rFonts w:hint="eastAsia" w:ascii="仿宋_GB2312" w:hAnsi="仿宋_GB2312" w:cs="仿宋_GB2312"/>
          <w:bCs/>
          <w:color w:val="000000"/>
          <w:szCs w:val="32"/>
          <w:highlight w:val="none"/>
        </w:rPr>
        <w:t>项目绩效自评综述：根据年初设定的绩效目标，</w:t>
      </w:r>
      <w:r>
        <w:rPr>
          <w:rFonts w:hint="eastAsia" w:ascii="仿宋_GB2312" w:hAnsi="仿宋_GB2312" w:cs="仿宋_GB2312"/>
          <w:bCs/>
          <w:color w:val="000000"/>
          <w:szCs w:val="32"/>
          <w:highlight w:val="none"/>
          <w:lang w:eastAsia="zh-CN"/>
        </w:rPr>
        <w:t>“会计专业技术资格考试考务费”</w:t>
      </w:r>
      <w:r>
        <w:rPr>
          <w:rFonts w:hint="eastAsia" w:ascii="仿宋_GB2312" w:hAnsi="仿宋_GB2312" w:cs="仿宋_GB2312"/>
          <w:bCs/>
          <w:color w:val="000000"/>
          <w:szCs w:val="32"/>
          <w:highlight w:val="none"/>
        </w:rPr>
        <w:t>项目绩效自评得分为</w:t>
      </w:r>
      <w:r>
        <w:rPr>
          <w:rFonts w:hint="eastAsia" w:ascii="仿宋_GB2312" w:hAnsi="仿宋_GB2312" w:cs="仿宋_GB2312"/>
          <w:bCs/>
          <w:color w:val="000000"/>
          <w:szCs w:val="32"/>
          <w:highlight w:val="none"/>
          <w:lang w:val="en-US" w:eastAsia="zh-CN"/>
        </w:rPr>
        <w:t>98.59</w:t>
      </w:r>
      <w:r>
        <w:rPr>
          <w:rFonts w:hint="eastAsia" w:ascii="仿宋_GB2312" w:hAnsi="仿宋_GB2312" w:cs="仿宋_GB2312"/>
          <w:bCs/>
          <w:color w:val="000000"/>
          <w:szCs w:val="32"/>
          <w:highlight w:val="none"/>
        </w:rPr>
        <w:t>分。项目全年预算数为</w:t>
      </w:r>
      <w:r>
        <w:rPr>
          <w:rFonts w:hint="eastAsia" w:ascii="仿宋_GB2312" w:hAnsi="仿宋_GB2312" w:cs="仿宋_GB2312"/>
          <w:bCs/>
          <w:color w:val="000000"/>
          <w:szCs w:val="32"/>
          <w:highlight w:val="none"/>
          <w:lang w:val="en-US" w:eastAsia="zh-CN"/>
        </w:rPr>
        <w:t>62</w:t>
      </w:r>
      <w:r>
        <w:rPr>
          <w:rFonts w:hint="eastAsia" w:ascii="仿宋_GB2312" w:hAnsi="仿宋_GB2312" w:cs="仿宋_GB2312"/>
          <w:bCs/>
          <w:color w:val="000000"/>
          <w:szCs w:val="32"/>
          <w:highlight w:val="none"/>
        </w:rPr>
        <w:t>万元，执行数为</w:t>
      </w:r>
      <w:r>
        <w:rPr>
          <w:rFonts w:hint="eastAsia" w:ascii="仿宋_GB2312" w:hAnsi="仿宋_GB2312" w:cs="仿宋_GB2312"/>
          <w:bCs/>
          <w:color w:val="000000"/>
          <w:szCs w:val="32"/>
          <w:highlight w:val="none"/>
          <w:lang w:val="en-US" w:eastAsia="zh-CN"/>
        </w:rPr>
        <w:t>61.3</w:t>
      </w:r>
      <w:r>
        <w:rPr>
          <w:rFonts w:hint="eastAsia" w:ascii="仿宋_GB2312" w:hAnsi="仿宋_GB2312" w:cs="仿宋_GB2312"/>
          <w:bCs/>
          <w:color w:val="000000"/>
          <w:szCs w:val="32"/>
          <w:highlight w:val="none"/>
        </w:rPr>
        <w:t>万元，完成预算的</w:t>
      </w:r>
      <w:r>
        <w:rPr>
          <w:rFonts w:hint="eastAsia" w:ascii="仿宋_GB2312" w:hAnsi="仿宋_GB2312" w:cs="仿宋_GB2312"/>
          <w:bCs/>
          <w:color w:val="000000"/>
          <w:szCs w:val="32"/>
          <w:highlight w:val="none"/>
          <w:lang w:val="en-US" w:eastAsia="zh-CN"/>
        </w:rPr>
        <w:t>98.87</w:t>
      </w:r>
      <w:r>
        <w:rPr>
          <w:rFonts w:ascii="仿宋_GB2312" w:hAnsi="仿宋_GB2312" w:cs="仿宋_GB2312"/>
          <w:bCs/>
          <w:color w:val="000000"/>
          <w:szCs w:val="32"/>
          <w:highlight w:val="none"/>
        </w:rPr>
        <w:t>%</w:t>
      </w:r>
      <w:r>
        <w:rPr>
          <w:rFonts w:hint="eastAsia" w:ascii="仿宋_GB2312" w:hAnsi="仿宋_GB2312" w:cs="仿宋_GB2312"/>
          <w:bCs/>
          <w:color w:val="000000"/>
          <w:szCs w:val="32"/>
          <w:highlight w:val="none"/>
        </w:rPr>
        <w:t>。主要产出和效果：</w:t>
      </w:r>
      <w:r>
        <w:rPr>
          <w:rFonts w:hint="eastAsia" w:ascii="仿宋" w:hAnsi="仿宋" w:eastAsia="仿宋" w:cs="仿宋"/>
          <w:szCs w:val="32"/>
        </w:rPr>
        <w:t>通过项目实施，确保</w:t>
      </w:r>
      <w:r>
        <w:rPr>
          <w:rFonts w:hint="eastAsia" w:ascii="仿宋" w:hAnsi="仿宋" w:eastAsia="仿宋" w:cs="仿宋"/>
          <w:color w:val="000000"/>
          <w:szCs w:val="32"/>
        </w:rPr>
        <w:t>2020年度我市会计专业技术职称和注册会计师考试各项工作顺利平稳的完成。发现的主要问题：</w:t>
      </w:r>
      <w:r>
        <w:rPr>
          <w:rFonts w:hint="eastAsia" w:ascii="仿宋" w:hAnsi="仿宋" w:eastAsia="仿宋" w:cs="仿宋"/>
          <w:color w:val="000000"/>
          <w:szCs w:val="32"/>
          <w:lang w:eastAsia="zh-CN"/>
        </w:rPr>
        <w:t>进一步优化考试环境。</w:t>
      </w:r>
      <w:r>
        <w:rPr>
          <w:rFonts w:hint="eastAsia" w:ascii="仿宋" w:hAnsi="仿宋" w:eastAsia="仿宋" w:cs="仿宋"/>
          <w:color w:val="000000"/>
          <w:szCs w:val="32"/>
        </w:rPr>
        <w:t>下一步改进措施：</w:t>
      </w:r>
      <w:r>
        <w:rPr>
          <w:rFonts w:hint="eastAsia" w:ascii="仿宋" w:hAnsi="仿宋" w:eastAsia="仿宋" w:cs="仿宋"/>
          <w:color w:val="000000"/>
          <w:szCs w:val="32"/>
          <w:lang w:eastAsia="zh-CN"/>
        </w:rPr>
        <w:t>严格按照省厅</w:t>
      </w:r>
      <w:bookmarkStart w:id="0" w:name="_GoBack"/>
      <w:bookmarkEnd w:id="0"/>
      <w:r>
        <w:rPr>
          <w:rFonts w:hint="eastAsia" w:ascii="仿宋" w:hAnsi="仿宋" w:eastAsia="仿宋" w:cs="仿宋"/>
          <w:color w:val="000000"/>
          <w:szCs w:val="32"/>
          <w:lang w:eastAsia="zh-CN"/>
        </w:rPr>
        <w:t>安排部署，进一步提升考生满意度。</w:t>
      </w:r>
    </w:p>
    <w:p>
      <w:pPr>
        <w:spacing w:line="600" w:lineRule="exact"/>
        <w:ind w:firstLine="628"/>
        <w:rPr>
          <w:rFonts w:hint="eastAsia" w:ascii="仿宋" w:hAnsi="仿宋" w:eastAsia="仿宋" w:cs="仿宋"/>
          <w:szCs w:val="32"/>
          <w:lang w:eastAsia="zh-CN"/>
        </w:rPr>
      </w:pPr>
      <w:r>
        <w:rPr>
          <w:rFonts w:hint="eastAsia" w:ascii="仿宋_GB2312" w:hAnsi="仿宋_GB2312" w:cs="仿宋_GB2312"/>
          <w:bCs/>
          <w:color w:val="000000"/>
          <w:szCs w:val="32"/>
          <w:highlight w:val="none"/>
          <w:lang w:eastAsia="zh-CN"/>
        </w:rPr>
        <w:t>“财政国库支付业务用房基本建设支出”</w:t>
      </w:r>
      <w:r>
        <w:rPr>
          <w:rFonts w:hint="eastAsia" w:ascii="仿宋_GB2312" w:hAnsi="仿宋_GB2312" w:cs="仿宋_GB2312"/>
          <w:bCs/>
          <w:color w:val="000000"/>
          <w:szCs w:val="32"/>
          <w:highlight w:val="none"/>
        </w:rPr>
        <w:t>项目绩效自评综述：根据年初设定的绩效目标，</w:t>
      </w:r>
      <w:r>
        <w:rPr>
          <w:rFonts w:hint="eastAsia" w:ascii="仿宋_GB2312" w:hAnsi="仿宋_GB2312" w:cs="仿宋_GB2312"/>
          <w:bCs/>
          <w:color w:val="000000"/>
          <w:szCs w:val="32"/>
          <w:highlight w:val="none"/>
          <w:lang w:eastAsia="zh-CN"/>
        </w:rPr>
        <w:t>“财政国库支付业务用房基本建设支出”</w:t>
      </w:r>
      <w:r>
        <w:rPr>
          <w:rFonts w:hint="eastAsia" w:ascii="仿宋_GB2312" w:hAnsi="仿宋_GB2312" w:cs="仿宋_GB2312"/>
          <w:bCs/>
          <w:color w:val="000000"/>
          <w:szCs w:val="32"/>
          <w:highlight w:val="none"/>
        </w:rPr>
        <w:t>项目绩效自评得分为</w:t>
      </w:r>
      <w:r>
        <w:rPr>
          <w:rFonts w:hint="eastAsia" w:ascii="仿宋_GB2312" w:hAnsi="仿宋_GB2312" w:cs="仿宋_GB2312"/>
          <w:bCs/>
          <w:color w:val="000000"/>
          <w:szCs w:val="32"/>
          <w:highlight w:val="none"/>
          <w:lang w:val="en-US" w:eastAsia="zh-CN"/>
        </w:rPr>
        <w:t>95</w:t>
      </w:r>
      <w:r>
        <w:rPr>
          <w:rFonts w:hint="eastAsia" w:ascii="仿宋_GB2312" w:hAnsi="仿宋_GB2312" w:cs="仿宋_GB2312"/>
          <w:bCs/>
          <w:color w:val="000000"/>
          <w:szCs w:val="32"/>
          <w:highlight w:val="none"/>
        </w:rPr>
        <w:t>分。项目全年预算数为</w:t>
      </w:r>
      <w:r>
        <w:rPr>
          <w:rFonts w:hint="eastAsia" w:ascii="仿宋_GB2312" w:hAnsi="仿宋_GB2312" w:cs="仿宋_GB2312"/>
          <w:bCs/>
          <w:color w:val="000000"/>
          <w:szCs w:val="32"/>
          <w:highlight w:val="none"/>
          <w:lang w:val="en-US" w:eastAsia="zh-CN"/>
        </w:rPr>
        <w:t>185</w:t>
      </w:r>
      <w:r>
        <w:rPr>
          <w:rFonts w:hint="eastAsia" w:ascii="仿宋_GB2312" w:hAnsi="仿宋_GB2312" w:cs="仿宋_GB2312"/>
          <w:bCs/>
          <w:color w:val="000000"/>
          <w:szCs w:val="32"/>
          <w:highlight w:val="none"/>
        </w:rPr>
        <w:t>万元，执行数为</w:t>
      </w:r>
      <w:r>
        <w:rPr>
          <w:rFonts w:hint="eastAsia" w:ascii="仿宋_GB2312" w:hAnsi="仿宋_GB2312" w:cs="仿宋_GB2312"/>
          <w:bCs/>
          <w:color w:val="000000"/>
          <w:szCs w:val="32"/>
          <w:highlight w:val="none"/>
          <w:lang w:val="en-US" w:eastAsia="zh-CN"/>
        </w:rPr>
        <w:t>185</w:t>
      </w:r>
      <w:r>
        <w:rPr>
          <w:rFonts w:hint="eastAsia" w:ascii="仿宋_GB2312" w:hAnsi="仿宋_GB2312" w:cs="仿宋_GB2312"/>
          <w:bCs/>
          <w:color w:val="000000"/>
          <w:szCs w:val="32"/>
          <w:highlight w:val="none"/>
        </w:rPr>
        <w:t>万元，完成预算的</w:t>
      </w:r>
      <w:r>
        <w:rPr>
          <w:rFonts w:hint="eastAsia" w:ascii="仿宋_GB2312" w:hAnsi="仿宋_GB2312" w:cs="仿宋_GB2312"/>
          <w:bCs/>
          <w:color w:val="000000"/>
          <w:szCs w:val="32"/>
          <w:highlight w:val="none"/>
          <w:lang w:val="en-US" w:eastAsia="zh-CN"/>
        </w:rPr>
        <w:t>100</w:t>
      </w:r>
      <w:r>
        <w:rPr>
          <w:rFonts w:ascii="仿宋_GB2312" w:hAnsi="仿宋_GB2312" w:cs="仿宋_GB2312"/>
          <w:bCs/>
          <w:color w:val="000000"/>
          <w:szCs w:val="32"/>
          <w:highlight w:val="none"/>
        </w:rPr>
        <w:t>%</w:t>
      </w:r>
      <w:r>
        <w:rPr>
          <w:rFonts w:hint="eastAsia" w:ascii="仿宋_GB2312" w:hAnsi="仿宋_GB2312" w:cs="仿宋_GB2312"/>
          <w:bCs/>
          <w:color w:val="000000"/>
          <w:szCs w:val="32"/>
          <w:highlight w:val="none"/>
        </w:rPr>
        <w:t>。主要产出和效果：</w:t>
      </w:r>
      <w:r>
        <w:rPr>
          <w:rFonts w:hint="eastAsia" w:ascii="仿宋" w:hAnsi="仿宋" w:eastAsia="仿宋" w:cs="仿宋"/>
          <w:szCs w:val="32"/>
        </w:rPr>
        <w:t>通过项目实施</w:t>
      </w:r>
      <w:r>
        <w:rPr>
          <w:rFonts w:hint="eastAsia" w:ascii="仿宋" w:hAnsi="仿宋" w:eastAsia="仿宋" w:cs="仿宋"/>
          <w:szCs w:val="32"/>
          <w:lang w:eastAsia="zh-CN"/>
        </w:rPr>
        <w:t>，使财政国库支付业务用房更好地服务于入驻该大楼的行政单位。财政国库支付业务用房基本建设支出项目已进入最后一年，所有款项已支付完结。</w:t>
      </w:r>
    </w:p>
    <w:p>
      <w:pPr>
        <w:spacing w:line="600" w:lineRule="exact"/>
        <w:ind w:firstLine="628"/>
        <w:rPr>
          <w:rFonts w:hint="eastAsia" w:ascii="仿宋_GB2312" w:hAnsi="仿宋_GB2312" w:cs="仿宋_GB2312"/>
          <w:b/>
          <w:color w:val="000000"/>
          <w:szCs w:val="32"/>
          <w:highlight w:val="none"/>
          <w:lang w:eastAsia="zh-CN"/>
        </w:rPr>
      </w:pPr>
      <w:r>
        <w:rPr>
          <w:rFonts w:hint="eastAsia" w:ascii="仿宋_GB2312" w:hAnsi="仿宋_GB2312" w:cs="仿宋_GB2312"/>
          <w:b/>
          <w:color w:val="000000"/>
          <w:szCs w:val="32"/>
          <w:highlight w:val="none"/>
          <w:lang w:val="en-US" w:eastAsia="zh-CN"/>
        </w:rPr>
        <w:t>3、</w:t>
      </w:r>
      <w:r>
        <w:rPr>
          <w:rFonts w:hint="eastAsia" w:ascii="仿宋_GB2312" w:hAnsi="仿宋_GB2312" w:cs="仿宋_GB2312"/>
          <w:b/>
          <w:color w:val="000000"/>
          <w:szCs w:val="32"/>
          <w:highlight w:val="none"/>
          <w:lang w:eastAsia="zh-CN"/>
        </w:rPr>
        <w:t>上述项目《项目支出绩效自评表》（详见附表</w:t>
      </w:r>
      <w:r>
        <w:rPr>
          <w:rFonts w:hint="eastAsia" w:ascii="仿宋_GB2312" w:hAnsi="仿宋_GB2312" w:cs="仿宋_GB2312"/>
          <w:b/>
          <w:color w:val="000000"/>
          <w:szCs w:val="32"/>
          <w:highlight w:val="none"/>
          <w:lang w:val="en-US" w:eastAsia="zh-CN"/>
        </w:rPr>
        <w:t>2020绩效自评表</w:t>
      </w:r>
      <w:r>
        <w:rPr>
          <w:rFonts w:hint="eastAsia" w:ascii="仿宋_GB2312" w:hAnsi="仿宋_GB2312" w:cs="仿宋_GB2312"/>
          <w:b/>
          <w:color w:val="000000"/>
          <w:szCs w:val="32"/>
          <w:highlight w:val="none"/>
          <w:lang w:eastAsia="zh-CN"/>
        </w:rPr>
        <w:t>）</w:t>
      </w:r>
    </w:p>
    <w:p>
      <w:pPr>
        <w:spacing w:line="600" w:lineRule="exact"/>
        <w:ind w:firstLine="630"/>
        <w:rPr>
          <w:rFonts w:hint="eastAsia" w:ascii="仿宋" w:hAnsi="仿宋" w:eastAsia="仿宋" w:cs="仿宋"/>
          <w:szCs w:val="32"/>
          <w:lang w:eastAsia="zh-CN"/>
        </w:rPr>
      </w:pPr>
      <w:r>
        <w:rPr>
          <w:rFonts w:hint="eastAsia" w:ascii="仿宋" w:hAnsi="仿宋" w:eastAsia="仿宋" w:cs="仿宋"/>
          <w:szCs w:val="32"/>
          <w:lang w:val="en-US" w:eastAsia="zh-CN"/>
        </w:rPr>
        <w:object>
          <v:shape id="_x0000_i1025" o:spt="75" type="#_x0000_t75" style="height:35.25pt;width:105.2pt;" o:ole="t" filled="f" o:preferrelative="t" stroked="f" coordsize="21600,21600">
            <v:path/>
            <v:fill on="f" focussize="0,0"/>
            <v:stroke on="f" joinstyle="miter"/>
            <v:imagedata r:id="rId7" o:title=""/>
            <o:lock v:ext="edit" rotation="t" aspectratio="t"/>
            <w10:wrap type="none"/>
            <w10:anchorlock/>
          </v:shape>
          <o:OLEObject Type="Embed" ProgID="Package" ShapeID="_x0000_i1025" DrawAspect="Content" ObjectID="_1468075725" r:id="rId6">
            <o:LockedField>false</o:LockedField>
          </o:OLEObject>
        </w:object>
      </w:r>
    </w:p>
    <w:p>
      <w:pPr>
        <w:spacing w:line="600" w:lineRule="exact"/>
        <w:ind w:firstLine="628"/>
        <w:rPr>
          <w:rFonts w:hint="eastAsia" w:ascii="黑体" w:hAnsi="黑体" w:eastAsia="黑体"/>
          <w:szCs w:val="32"/>
        </w:rPr>
      </w:pPr>
      <w:r>
        <w:rPr>
          <w:rFonts w:hint="eastAsia" w:ascii="黑体" w:hAnsi="黑体" w:eastAsia="黑体"/>
          <w:szCs w:val="32"/>
        </w:rPr>
        <w:t>第四部分 名词解释</w:t>
      </w:r>
    </w:p>
    <w:p>
      <w:pPr>
        <w:spacing w:line="600" w:lineRule="exact"/>
        <w:ind w:left="425" w:firstLine="201"/>
        <w:rPr>
          <w:rFonts w:hint="eastAsia" w:ascii="仿宋_GB2312" w:hAnsi="仿宋"/>
          <w:szCs w:val="32"/>
        </w:rPr>
      </w:pPr>
      <w:r>
        <w:rPr>
          <w:rFonts w:hint="eastAsia" w:ascii="仿宋_GB2312" w:hAnsi="黑体" w:cs="宋体"/>
          <w:b/>
          <w:bCs/>
          <w:szCs w:val="32"/>
        </w:rPr>
        <w:t>一、财政拨款收入</w:t>
      </w:r>
      <w:r>
        <w:rPr>
          <w:rFonts w:hint="eastAsia" w:ascii="仿宋_GB2312" w:hAnsi="仿宋"/>
          <w:b/>
          <w:szCs w:val="32"/>
        </w:rPr>
        <w:t>：</w:t>
      </w:r>
      <w:r>
        <w:rPr>
          <w:rFonts w:hint="eastAsia" w:ascii="仿宋_GB2312" w:hAnsi="仿宋"/>
          <w:szCs w:val="32"/>
        </w:rPr>
        <w:t>指单位从同级财政部门取得的财政预算资金。</w:t>
      </w:r>
    </w:p>
    <w:p>
      <w:pPr>
        <w:spacing w:line="600" w:lineRule="exact"/>
        <w:ind w:firstLine="628"/>
        <w:rPr>
          <w:rFonts w:hint="eastAsia" w:ascii="仿宋_GB2312" w:hAnsi="仿宋"/>
          <w:szCs w:val="32"/>
        </w:rPr>
      </w:pPr>
      <w:r>
        <w:rPr>
          <w:rFonts w:hint="eastAsia" w:ascii="仿宋_GB2312" w:hAnsi="黑体" w:cs="宋体"/>
          <w:b/>
          <w:bCs/>
          <w:szCs w:val="32"/>
        </w:rPr>
        <w:t>二、事业收入：</w:t>
      </w:r>
      <w:r>
        <w:rPr>
          <w:rFonts w:hint="eastAsia" w:ascii="仿宋_GB2312" w:hAnsi="仿宋"/>
          <w:szCs w:val="32"/>
        </w:rPr>
        <w:t>指事业单位开展专业业务活动及辅助活动所取得的收入。</w:t>
      </w:r>
    </w:p>
    <w:p>
      <w:pPr>
        <w:spacing w:line="600" w:lineRule="exact"/>
        <w:ind w:firstLine="628"/>
        <w:rPr>
          <w:rFonts w:ascii="仿宋_GB2312" w:hAnsi="黑体"/>
          <w:b/>
          <w:bCs/>
          <w:szCs w:val="32"/>
        </w:rPr>
      </w:pPr>
      <w:r>
        <w:rPr>
          <w:rFonts w:hint="eastAsia" w:ascii="仿宋_GB2312" w:hAnsi="黑体" w:cs="宋体"/>
          <w:b/>
          <w:bCs/>
          <w:szCs w:val="32"/>
        </w:rPr>
        <w:t>三、上级补助收入：</w:t>
      </w:r>
      <w:r>
        <w:rPr>
          <w:rFonts w:hint="eastAsia" w:ascii="仿宋_GB2312" w:hAnsi="黑体"/>
          <w:bCs/>
          <w:szCs w:val="32"/>
        </w:rPr>
        <w:t>指</w:t>
      </w:r>
      <w:r>
        <w:rPr>
          <w:rFonts w:hint="eastAsia" w:ascii="仿宋_GB2312" w:hAnsi="仿宋"/>
          <w:szCs w:val="32"/>
        </w:rPr>
        <w:t>事业单位从主管部门和上级单位取得的非财政补助收入。</w:t>
      </w:r>
    </w:p>
    <w:p>
      <w:pPr>
        <w:pStyle w:val="186"/>
        <w:spacing w:before="0" w:beforeAutospacing="0" w:after="0" w:afterAutospacing="0" w:line="600" w:lineRule="exact"/>
        <w:ind w:firstLine="616"/>
        <w:rPr>
          <w:rFonts w:hint="eastAsia" w:ascii="仿宋_GB2312" w:hAnsi="黑体" w:eastAsia="仿宋_GB2312"/>
          <w:bCs/>
          <w:sz w:val="32"/>
          <w:szCs w:val="32"/>
        </w:rPr>
      </w:pPr>
      <w:r>
        <w:rPr>
          <w:rFonts w:hint="eastAsia" w:ascii="仿宋_GB2312" w:hAnsi="黑体" w:eastAsia="仿宋_GB2312"/>
          <w:b/>
          <w:bCs/>
          <w:sz w:val="32"/>
          <w:szCs w:val="32"/>
        </w:rPr>
        <w:t>四、附属单位上缴收入：</w:t>
      </w:r>
      <w:r>
        <w:rPr>
          <w:rFonts w:hint="eastAsia" w:ascii="仿宋_GB2312" w:hAnsi="黑体" w:eastAsia="仿宋_GB2312"/>
          <w:bCs/>
          <w:sz w:val="32"/>
          <w:szCs w:val="32"/>
        </w:rPr>
        <w:t>指事业单位附属独立核算单位按照有关规定上缴的收入。</w:t>
      </w:r>
    </w:p>
    <w:p>
      <w:pPr>
        <w:pStyle w:val="186"/>
        <w:spacing w:before="0" w:beforeAutospacing="0" w:after="0" w:afterAutospacing="0" w:line="600" w:lineRule="exact"/>
        <w:ind w:firstLine="616"/>
        <w:rPr>
          <w:rFonts w:hint="eastAsia" w:ascii="仿宋_GB2312" w:hAnsi="黑体" w:eastAsia="仿宋_GB2312"/>
          <w:bCs/>
          <w:sz w:val="32"/>
          <w:szCs w:val="32"/>
        </w:rPr>
      </w:pPr>
      <w:r>
        <w:rPr>
          <w:rFonts w:hint="eastAsia" w:ascii="仿宋_GB2312" w:hAnsi="黑体" w:eastAsia="仿宋_GB2312"/>
          <w:b/>
          <w:bCs/>
          <w:sz w:val="32"/>
          <w:szCs w:val="32"/>
        </w:rPr>
        <w:t>五、经营收入</w:t>
      </w:r>
      <w:r>
        <w:rPr>
          <w:rFonts w:hint="eastAsia"/>
          <w:b/>
          <w:bCs/>
          <w:color w:val="383535"/>
        </w:rPr>
        <w:t>：</w:t>
      </w:r>
      <w:r>
        <w:rPr>
          <w:rFonts w:hint="eastAsia" w:ascii="仿宋_GB2312" w:hAnsi="黑体" w:eastAsia="仿宋_GB2312"/>
          <w:bCs/>
          <w:sz w:val="32"/>
          <w:szCs w:val="32"/>
        </w:rPr>
        <w:t>指事业单位在专业业务活动及其辅助活动之外开展非独立核算经营活动取得的收入。</w:t>
      </w:r>
    </w:p>
    <w:p>
      <w:pPr>
        <w:pStyle w:val="186"/>
        <w:spacing w:before="0" w:beforeAutospacing="0" w:after="0" w:afterAutospacing="0" w:line="600" w:lineRule="exact"/>
        <w:ind w:firstLine="616"/>
        <w:rPr>
          <w:rFonts w:hint="eastAsia" w:ascii="仿宋_GB2312" w:hAnsi="黑体"/>
          <w:b/>
          <w:bCs/>
          <w:szCs w:val="32"/>
        </w:rPr>
      </w:pPr>
      <w:r>
        <w:rPr>
          <w:rFonts w:hint="eastAsia" w:ascii="仿宋_GB2312" w:hAnsi="黑体" w:eastAsia="仿宋_GB2312"/>
          <w:b/>
          <w:sz w:val="32"/>
          <w:szCs w:val="32"/>
        </w:rPr>
        <w:t>六、</w:t>
      </w:r>
      <w:r>
        <w:rPr>
          <w:rFonts w:hint="eastAsia" w:ascii="仿宋_GB2312" w:hAnsi="黑体" w:eastAsia="仿宋_GB2312"/>
          <w:b/>
          <w:bCs/>
          <w:sz w:val="32"/>
          <w:szCs w:val="32"/>
        </w:rPr>
        <w:t>其他收入：</w:t>
      </w:r>
      <w:r>
        <w:rPr>
          <w:rFonts w:hint="eastAsia" w:ascii="仿宋_GB2312" w:hAnsi="黑体" w:eastAsia="仿宋_GB2312"/>
          <w:bCs/>
          <w:sz w:val="32"/>
          <w:szCs w:val="32"/>
        </w:rPr>
        <w:t>指除财政拨款收入、事业收入、上级补助收入、附属单位上缴收入、经营收入以外的各项收入。</w:t>
      </w:r>
    </w:p>
    <w:p>
      <w:pPr>
        <w:pStyle w:val="186"/>
        <w:spacing w:before="0" w:beforeAutospacing="0" w:after="0" w:afterAutospacing="0" w:line="600" w:lineRule="exact"/>
        <w:ind w:firstLine="616"/>
        <w:rPr>
          <w:rFonts w:hint="eastAsia" w:ascii="仿宋_GB2312" w:hAnsi="黑体" w:eastAsia="仿宋_GB2312"/>
          <w:bCs/>
          <w:sz w:val="32"/>
          <w:szCs w:val="32"/>
        </w:rPr>
      </w:pPr>
      <w:r>
        <w:rPr>
          <w:rFonts w:hint="eastAsia" w:ascii="仿宋_GB2312" w:hAnsi="黑体" w:eastAsia="仿宋_GB2312"/>
          <w:b/>
          <w:bCs/>
          <w:sz w:val="32"/>
          <w:szCs w:val="32"/>
        </w:rPr>
        <w:t>七、年初结转和结余：</w:t>
      </w:r>
      <w:r>
        <w:rPr>
          <w:rFonts w:hint="eastAsia" w:ascii="仿宋_GB2312" w:hAnsi="黑体" w:eastAsia="仿宋_GB2312"/>
          <w:bCs/>
          <w:sz w:val="32"/>
          <w:szCs w:val="32"/>
        </w:rPr>
        <w:t>指以前年度安排、结转到本年仍按原规定用途继续使用的资金。</w:t>
      </w:r>
    </w:p>
    <w:p>
      <w:pPr>
        <w:pStyle w:val="186"/>
        <w:spacing w:before="0" w:beforeAutospacing="0" w:after="0" w:afterAutospacing="0" w:line="600" w:lineRule="exact"/>
        <w:ind w:firstLine="616"/>
        <w:rPr>
          <w:rFonts w:hint="eastAsia" w:ascii="仿宋_GB2312" w:hAnsi="黑体" w:eastAsia="仿宋_GB2312"/>
          <w:bCs/>
          <w:sz w:val="32"/>
          <w:szCs w:val="32"/>
        </w:rPr>
      </w:pPr>
      <w:r>
        <w:rPr>
          <w:rFonts w:hint="eastAsia" w:ascii="仿宋_GB2312" w:hAnsi="黑体" w:eastAsia="仿宋_GB2312"/>
          <w:b/>
          <w:bCs/>
          <w:sz w:val="32"/>
          <w:szCs w:val="32"/>
        </w:rPr>
        <w:t>八、结余分配：</w:t>
      </w:r>
      <w:r>
        <w:rPr>
          <w:rFonts w:hint="eastAsia" w:ascii="仿宋_GB2312" w:hAnsi="黑体" w:eastAsia="仿宋_GB2312"/>
          <w:bCs/>
          <w:sz w:val="32"/>
          <w:szCs w:val="32"/>
        </w:rPr>
        <w:t>指事业单位按照会计制度规定缴纳的所得税以及从非财政拨款结余中提取的职工福利基金、事业基金等。</w:t>
      </w:r>
    </w:p>
    <w:p>
      <w:pPr>
        <w:pStyle w:val="186"/>
        <w:spacing w:before="0" w:beforeAutospacing="0" w:after="0" w:afterAutospacing="0" w:line="600" w:lineRule="exact"/>
        <w:ind w:firstLine="616"/>
        <w:rPr>
          <w:rFonts w:hint="eastAsia" w:ascii="仿宋_GB2312" w:hAnsi="黑体" w:eastAsia="仿宋_GB2312"/>
          <w:b/>
          <w:sz w:val="32"/>
          <w:szCs w:val="32"/>
        </w:rPr>
      </w:pPr>
      <w:r>
        <w:rPr>
          <w:rFonts w:hint="eastAsia" w:ascii="仿宋_GB2312" w:hAnsi="黑体" w:eastAsia="仿宋_GB2312"/>
          <w:b/>
          <w:bCs/>
          <w:sz w:val="32"/>
          <w:szCs w:val="32"/>
        </w:rPr>
        <w:t>九、年末结转和结余：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pPr>
        <w:pStyle w:val="186"/>
        <w:spacing w:before="0" w:beforeAutospacing="0" w:after="0" w:afterAutospacing="0" w:line="600" w:lineRule="exact"/>
        <w:ind w:firstLine="616"/>
        <w:rPr>
          <w:rFonts w:hint="eastAsia" w:ascii="仿宋_GB2312" w:hAnsi="黑体" w:eastAsia="仿宋_GB2312"/>
          <w:sz w:val="32"/>
          <w:szCs w:val="32"/>
        </w:rPr>
      </w:pPr>
      <w:r>
        <w:rPr>
          <w:rFonts w:hint="eastAsia" w:ascii="仿宋_GB2312" w:hAnsi="黑体" w:eastAsia="仿宋_GB2312"/>
          <w:b/>
          <w:sz w:val="32"/>
          <w:szCs w:val="32"/>
        </w:rPr>
        <w:t>十、基本支出：</w:t>
      </w:r>
      <w:r>
        <w:rPr>
          <w:rFonts w:hint="eastAsia" w:ascii="仿宋_GB2312" w:hAnsi="黑体" w:eastAsia="仿宋_GB2312"/>
          <w:sz w:val="32"/>
          <w:szCs w:val="32"/>
        </w:rPr>
        <w:t>指单位为保障其机构正常运转、完成日常工作任务而发生的人员支出和公用支出。</w:t>
      </w:r>
    </w:p>
    <w:p>
      <w:pPr>
        <w:pStyle w:val="186"/>
        <w:spacing w:before="0" w:beforeAutospacing="0" w:after="0" w:afterAutospacing="0" w:line="600" w:lineRule="exact"/>
        <w:ind w:firstLine="616"/>
        <w:jc w:val="both"/>
        <w:rPr>
          <w:rFonts w:hint="eastAsia" w:ascii="仿宋_GB2312" w:hAnsi="黑体" w:eastAsia="仿宋_GB2312"/>
          <w:sz w:val="32"/>
          <w:szCs w:val="32"/>
          <w:lang w:eastAsia="zh-CN"/>
        </w:rPr>
      </w:pPr>
      <w:r>
        <w:rPr>
          <w:rFonts w:hint="eastAsia" w:ascii="仿宋_GB2312" w:hAnsi="黑体" w:eastAsia="仿宋_GB2312"/>
          <w:b/>
          <w:sz w:val="32"/>
          <w:szCs w:val="32"/>
        </w:rPr>
        <w:t>十一、项目支出：</w:t>
      </w:r>
      <w:r>
        <w:rPr>
          <w:rFonts w:hint="eastAsia" w:ascii="仿宋_GB2312" w:hAnsi="黑体" w:eastAsia="仿宋_GB2312"/>
          <w:sz w:val="32"/>
          <w:szCs w:val="32"/>
        </w:rPr>
        <w:t>指单位为完成特定行政任务和事业发展目标在基本支出之外所发生的支出。</w:t>
      </w:r>
    </w:p>
    <w:p>
      <w:pPr>
        <w:pStyle w:val="186"/>
        <w:spacing w:before="0" w:beforeAutospacing="0" w:after="0" w:afterAutospacing="0" w:line="600" w:lineRule="exact"/>
        <w:ind w:firstLine="616"/>
        <w:jc w:val="both"/>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b/>
          <w:sz w:val="32"/>
          <w:szCs w:val="32"/>
        </w:rPr>
        <w:t>十二、经营支出：</w:t>
      </w:r>
      <w:r>
        <w:rPr>
          <w:rFonts w:hint="eastAsia" w:ascii="仿宋_GB2312" w:hAnsi="黑体" w:eastAsia="仿宋_GB2312"/>
          <w:sz w:val="32"/>
          <w:szCs w:val="32"/>
        </w:rPr>
        <w:t>指事业单位在专业业务活动及其辅助活动之外开展非独立核算经营活动发生的支出。</w:t>
      </w:r>
    </w:p>
    <w:p>
      <w:pPr>
        <w:pStyle w:val="186"/>
        <w:spacing w:before="0" w:beforeAutospacing="0" w:after="0" w:afterAutospacing="0" w:line="600" w:lineRule="exact"/>
        <w:ind w:firstLine="616"/>
        <w:jc w:val="both"/>
        <w:rPr>
          <w:rFonts w:hint="eastAsia" w:ascii="仿宋_GB2312" w:hAnsi="黑体" w:eastAsia="仿宋_GB2312"/>
          <w:b/>
          <w:sz w:val="32"/>
          <w:szCs w:val="32"/>
        </w:rPr>
      </w:pPr>
      <w:r>
        <w:rPr>
          <w:rFonts w:hint="eastAsia" w:ascii="仿宋_GB2312" w:hAnsi="黑体" w:eastAsia="仿宋_GB2312"/>
          <w:b/>
          <w:sz w:val="32"/>
          <w:szCs w:val="32"/>
        </w:rPr>
        <w:t>十三、“三公”经费：</w:t>
      </w:r>
      <w:r>
        <w:rPr>
          <w:rFonts w:hint="eastAsia" w:ascii="仿宋_GB2312" w:hAnsi="黑体" w:eastAsia="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pPr>
        <w:pStyle w:val="186"/>
        <w:spacing w:before="0" w:beforeAutospacing="0" w:after="0" w:afterAutospacing="0" w:line="600" w:lineRule="exact"/>
        <w:ind w:firstLine="616"/>
        <w:jc w:val="both"/>
        <w:rPr>
          <w:rFonts w:hint="eastAsia" w:ascii="仿宋_GB2312" w:hAnsi="黑体" w:eastAsia="仿宋_GB2312"/>
          <w:b/>
          <w:sz w:val="32"/>
          <w:szCs w:val="32"/>
        </w:rPr>
      </w:pPr>
      <w:r>
        <w:rPr>
          <w:rFonts w:hint="eastAsia" w:ascii="仿宋_GB2312" w:hAnsi="黑体" w:eastAsia="仿宋_GB2312"/>
          <w:b/>
          <w:sz w:val="32"/>
          <w:szCs w:val="32"/>
        </w:rPr>
        <w:t>十四、机关运行经费</w:t>
      </w:r>
      <w:r>
        <w:rPr>
          <w:rFonts w:hint="eastAsia" w:ascii="仿宋_GB2312" w:hAnsi="黑体" w:eastAsia="仿宋_GB2312"/>
          <w:sz w:val="32"/>
          <w:szCs w:val="32"/>
        </w:rPr>
        <w:t>：</w:t>
      </w:r>
      <w:r>
        <w:rPr>
          <w:rFonts w:hint="eastAsia" w:ascii="仿宋_GB2312" w:eastAsia="仿宋_GB2312"/>
          <w:sz w:val="32"/>
          <w:szCs w:val="32"/>
        </w:rPr>
        <w:t>指为保障行政单位（含参照公务员法管理的事业单位）运行用于购买货物和服务的各项资金</w:t>
      </w:r>
      <w:r>
        <w:rPr>
          <w:rFonts w:hint="eastAsia" w:ascii="仿宋_GB2312" w:hAnsi="Times New Roman" w:eastAsia="仿宋_GB2312"/>
          <w:sz w:val="32"/>
          <w:szCs w:val="32"/>
        </w:rPr>
        <w:t>，包括办公及印刷费、邮电费、差旅费、会议费、福利费、日常维修费、专用材料费及一般设备购置费、办公用房水电费、办公用房取暖费、办公用房物业管理费、公务用车运行维护费以及其他费用。</w:t>
      </w:r>
    </w:p>
    <w:p>
      <w:pPr>
        <w:jc w:val="both"/>
        <w:rPr>
          <w:rFonts w:hint="eastAsia" w:ascii="宋体" w:hAnsi="宋体"/>
          <w:b/>
          <w:sz w:val="36"/>
          <w:szCs w:val="36"/>
        </w:rPr>
      </w:pPr>
    </w:p>
    <w:p>
      <w:pPr>
        <w:jc w:val="both"/>
        <w:rPr>
          <w:rFonts w:hint="eastAsia" w:ascii="宋体" w:hAnsi="宋体"/>
          <w:b/>
          <w:sz w:val="36"/>
          <w:szCs w:val="36"/>
        </w:rPr>
      </w:pPr>
    </w:p>
    <w:p>
      <w:pPr>
        <w:jc w:val="both"/>
        <w:rPr>
          <w:rFonts w:hint="eastAsia" w:ascii="宋体" w:hAnsi="宋体"/>
          <w:b/>
          <w:sz w:val="36"/>
          <w:szCs w:val="36"/>
        </w:rPr>
      </w:pPr>
    </w:p>
    <w:p>
      <w:pPr>
        <w:jc w:val="both"/>
        <w:rPr>
          <w:rFonts w:hint="eastAsia" w:ascii="宋体" w:hAnsi="宋体"/>
          <w:b/>
          <w:sz w:val="36"/>
          <w:szCs w:val="36"/>
        </w:rPr>
      </w:pPr>
    </w:p>
    <w:p>
      <w:pPr>
        <w:jc w:val="both"/>
        <w:rPr>
          <w:rFonts w:hint="eastAsia" w:ascii="宋体" w:hAnsi="宋体"/>
          <w:b/>
          <w:sz w:val="36"/>
          <w:szCs w:val="36"/>
        </w:rPr>
      </w:pPr>
    </w:p>
    <w:p>
      <w:pPr>
        <w:jc w:val="both"/>
        <w:rPr>
          <w:rFonts w:hint="eastAsia" w:ascii="宋体" w:hAnsi="宋体"/>
          <w:b/>
          <w:sz w:val="36"/>
          <w:szCs w:val="36"/>
        </w:rPr>
      </w:pPr>
    </w:p>
    <w:p>
      <w:pPr>
        <w:jc w:val="both"/>
        <w:rPr>
          <w:rFonts w:hint="eastAsia" w:ascii="宋体" w:hAnsi="宋体"/>
          <w:b/>
          <w:sz w:val="36"/>
          <w:szCs w:val="36"/>
        </w:rPr>
      </w:pPr>
    </w:p>
    <w:p>
      <w:pPr>
        <w:jc w:val="both"/>
        <w:rPr>
          <w:rFonts w:hint="eastAsia" w:ascii="宋体" w:hAnsi="宋体"/>
          <w:b/>
          <w:sz w:val="36"/>
          <w:szCs w:val="36"/>
        </w:rPr>
      </w:pPr>
    </w:p>
    <w:p>
      <w:pPr>
        <w:jc w:val="both"/>
        <w:rPr>
          <w:rFonts w:hint="eastAsia" w:ascii="宋体" w:hAnsi="宋体"/>
          <w:b/>
          <w:sz w:val="36"/>
          <w:szCs w:val="36"/>
        </w:rPr>
      </w:pPr>
    </w:p>
    <w:p>
      <w:pPr>
        <w:jc w:val="both"/>
        <w:rPr>
          <w:rFonts w:hint="eastAsia" w:ascii="宋体" w:hAnsi="宋体"/>
          <w:b/>
          <w:sz w:val="36"/>
          <w:szCs w:val="36"/>
        </w:rPr>
      </w:pPr>
    </w:p>
    <w:p>
      <w:pPr>
        <w:jc w:val="both"/>
        <w:rPr>
          <w:rFonts w:hint="eastAsia" w:ascii="宋体" w:hAnsi="宋体"/>
          <w:b/>
          <w:sz w:val="36"/>
          <w:szCs w:val="36"/>
        </w:rPr>
      </w:pPr>
    </w:p>
    <w:sectPr>
      <w:pgSz w:w="11906" w:h="16838" w:orient="landscape"/>
      <w:pgMar w:top="2155" w:right="1531" w:bottom="1588" w:left="1588" w:header="0" w:footer="1588"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5"/>
      <w:framePr w:wrap="around" w:vAnchor="text" w:hAnchor="margin" w:xAlign="right" w:y="1"/>
      <w:rPr>
        <w:rStyle w:val="187"/>
        <w:rFonts w:ascii="仿宋_GB2312"/>
        <w:sz w:val="28"/>
      </w:rPr>
    </w:pPr>
    <w:r>
      <w:rPr>
        <w:rStyle w:val="187"/>
        <w:rFonts w:hint="eastAsia" w:ascii="仿宋_GB2312"/>
        <w:sz w:val="28"/>
      </w:rPr>
      <w:t>-</w:t>
    </w:r>
    <w:r>
      <w:rPr>
        <w:rFonts w:hint="eastAsia" w:ascii="仿宋_GB2312"/>
        <w:sz w:val="28"/>
        <w:szCs w:val="28"/>
      </w:rPr>
      <w:fldChar w:fldCharType="begin"/>
    </w:r>
    <w:r>
      <w:rPr>
        <w:rStyle w:val="187"/>
        <w:rFonts w:hint="eastAsia" w:ascii="仿宋_GB2312"/>
        <w:sz w:val="28"/>
        <w:szCs w:val="28"/>
      </w:rPr>
      <w:instrText xml:space="preserve"> PAGE </w:instrText>
    </w:r>
    <w:r>
      <w:rPr>
        <w:rFonts w:hint="eastAsia" w:ascii="仿宋_GB2312"/>
        <w:sz w:val="28"/>
        <w:szCs w:val="28"/>
      </w:rPr>
      <w:fldChar w:fldCharType="separate"/>
    </w:r>
    <w:r>
      <w:rPr>
        <w:rStyle w:val="187"/>
        <w:rFonts w:ascii="仿宋_GB2312"/>
        <w:sz w:val="28"/>
        <w:szCs w:val="28"/>
      </w:rPr>
      <w:t>26</w:t>
    </w:r>
    <w:r>
      <w:rPr>
        <w:rFonts w:hint="eastAsia" w:ascii="仿宋_GB2312"/>
        <w:sz w:val="28"/>
        <w:szCs w:val="28"/>
      </w:rPr>
      <w:fldChar w:fldCharType="end"/>
    </w:r>
    <w:r>
      <w:rPr>
        <w:rStyle w:val="187"/>
        <w:rFonts w:hint="eastAsia" w:ascii="仿宋_GB2312"/>
        <w:sz w:val="28"/>
        <w:szCs w:val="28"/>
      </w:rPr>
      <w:t>-</w:t>
    </w:r>
  </w:p>
  <w:p>
    <w:pPr>
      <w:pStyle w:val="185"/>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5"/>
      <w:framePr w:wrap="around" w:vAnchor="text" w:hAnchor="margin" w:xAlign="right" w:y="1"/>
      <w:rPr>
        <w:rStyle w:val="187"/>
      </w:rPr>
    </w:pPr>
    <w:r>
      <w:fldChar w:fldCharType="begin"/>
    </w:r>
    <w:r>
      <w:rPr>
        <w:rStyle w:val="187"/>
      </w:rPr>
      <w:instrText xml:space="preserve">PAGE  </w:instrText>
    </w:r>
    <w:r>
      <w:fldChar w:fldCharType="separate"/>
    </w:r>
    <w:r>
      <w:rPr>
        <w:rStyle w:val="187"/>
        <w:lang w:val="zh-CN"/>
      </w:rPr>
      <w:t>1</w:t>
    </w:r>
    <w:r>
      <w:fldChar w:fldCharType="end"/>
    </w:r>
  </w:p>
  <w:p>
    <w:pPr>
      <w:pStyle w:val="18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7"/>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characterSpacingControl w:val="doNotCompress"/>
  <w:compat>
    <w:balanceSingleByteDoubleByteWidth/>
    <w:ulTrailSpace/>
    <w:doNotExpandShiftReturn/>
    <w:useFELayout/>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NDg5ZmZjYTNjYjY3N2RjM2IzNTJjYmMzN2E2ODMifQ=="/>
    <w:docVar w:name="KSO_WPS_MARK_KEY" w:val="f45d62a7-7880-41af-b22e-7f04094105ef"/>
  </w:docVars>
  <w:rsids>
    <w:rsidRoot w:val="00000000"/>
    <w:rsid w:val="648C62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7"/>
    <w:qFormat/>
    <w:uiPriority w:val="0"/>
    <w:pPr>
      <w:widowControl w:val="0"/>
      <w:jc w:val="both"/>
    </w:pPr>
    <w:rPr>
      <w:rFonts w:hint="default" w:ascii="Times New Roman" w:hAnsi="Times New Roman" w:eastAsia="仿宋_GB2312" w:cs="Times New Roman"/>
      <w:sz w:val="32"/>
      <w:szCs w:val="22"/>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rPr>
  </w:style>
  <w:style w:type="character" w:styleId="33">
    <w:name w:val="footnote reference"/>
    <w:unhideWhenUsed/>
    <w:uiPriority w:val="99"/>
    <w:rPr>
      <w:vertAlign w:val="superscript"/>
    </w:rPr>
  </w:style>
  <w:style w:type="character" w:customStyle="1" w:styleId="34">
    <w:name w:val="Heading 1 Char"/>
    <w:link w:val="2"/>
    <w:qFormat/>
    <w:uiPriority w:val="9"/>
    <w:rPr>
      <w:rFonts w:ascii="等线" w:hAnsi="等线" w:eastAsia="等线" w:cs="等线"/>
      <w:sz w:val="40"/>
      <w:szCs w:val="40"/>
    </w:rPr>
  </w:style>
  <w:style w:type="character" w:customStyle="1" w:styleId="35">
    <w:name w:val="Heading 2 Char"/>
    <w:link w:val="3"/>
    <w:qFormat/>
    <w:uiPriority w:val="9"/>
    <w:rPr>
      <w:rFonts w:ascii="等线" w:hAnsi="等线" w:eastAsia="等线" w:cs="等线"/>
      <w:sz w:val="34"/>
    </w:rPr>
  </w:style>
  <w:style w:type="character" w:customStyle="1" w:styleId="36">
    <w:name w:val="Heading 3 Char"/>
    <w:link w:val="4"/>
    <w:qFormat/>
    <w:uiPriority w:val="9"/>
    <w:rPr>
      <w:rFonts w:ascii="等线" w:hAnsi="等线" w:eastAsia="等线" w:cs="等线"/>
      <w:sz w:val="30"/>
      <w:szCs w:val="30"/>
    </w:rPr>
  </w:style>
  <w:style w:type="character" w:customStyle="1" w:styleId="37">
    <w:name w:val="Heading 4 Char"/>
    <w:link w:val="5"/>
    <w:qFormat/>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qFormat/>
    <w:uiPriority w:val="9"/>
    <w:rPr>
      <w:rFonts w:ascii="等线" w:hAnsi="等线" w:eastAsia="等线" w:cs="等线"/>
      <w:b/>
      <w:bCs/>
      <w:i/>
      <w:iCs/>
      <w:sz w:val="22"/>
      <w:szCs w:val="22"/>
    </w:rPr>
  </w:style>
  <w:style w:type="character" w:customStyle="1" w:styleId="41">
    <w:name w:val="Heading 8 Char"/>
    <w:link w:val="9"/>
    <w:qFormat/>
    <w:uiPriority w:val="9"/>
    <w:rPr>
      <w:rFonts w:ascii="等线" w:hAnsi="等线" w:eastAsia="等线" w:cs="等线"/>
      <w:i/>
      <w:iCs/>
      <w:sz w:val="22"/>
      <w:szCs w:val="22"/>
    </w:rPr>
  </w:style>
  <w:style w:type="character" w:customStyle="1" w:styleId="42">
    <w:name w:val="Heading 9 Char"/>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qFormat/>
    <w:uiPriority w:val="99"/>
  </w:style>
  <w:style w:type="character" w:customStyle="1" w:styleId="52">
    <w:name w:val="Footer Char"/>
    <w:link w:val="17"/>
    <w:qFormat/>
    <w:uiPriority w:val="99"/>
  </w:style>
  <w:style w:type="character" w:customStyle="1" w:styleId="53">
    <w:name w:val="Caption Char"/>
    <w:link w:val="17"/>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qFormat/>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blPr/>
      <w:tcPr>
        <w:tcBorders>
          <w:bottom w:val="single" w:color="7E7E7E" w:themeColor="text1" w:themeTint="80" w:sz="12" w:space="0"/>
        </w:tcBorders>
      </w:tcPr>
    </w:tblStylePr>
    <w:tblStylePr w:type="lastRow">
      <w:rPr>
        <w:b/>
        <w:color w:val="7E7E7E" w:themeColor="text1" w:themeShade="95" w:themeTint="80"/>
      </w:rPr>
      <w:tblPr/>
    </w:tblStylePr>
    <w:tblStylePr w:type="firstCol">
      <w:rPr>
        <w:b/>
        <w:color w:val="7E7E7E" w:themeColor="text1" w:themeShade="95" w:themeTint="80"/>
      </w:rPr>
      <w:tblPr/>
    </w:tblStylePr>
    <w:tblStylePr w:type="lastCol">
      <w:rPr>
        <w:b/>
        <w:color w:val="7E7E7E" w:themeColor="text1" w:themeShade="95" w:themeTint="80"/>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7E7E7E" w:themeColor="text1" w:themeShade="95" w:themeTint="80"/>
        <w:sz w:val="22"/>
      </w:rPr>
      <w:tblPr/>
      <w:tcPr>
        <w:shd w:val="clear" w:color="CACACA" w:themeColor="text1" w:themeTint="34" w:fill="CACACA" w:themeFill="text1" w:themeFillTint="34"/>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blPr/>
      <w:tcPr>
        <w:tcBorders>
          <w:bottom w:val="single" w:color="A6BFDD" w:themeColor="accent1" w:themeTint="80" w:sz="12" w:space="0"/>
        </w:tcBorders>
      </w:tcPr>
    </w:tblStylePr>
    <w:tblStylePr w:type="lastRow">
      <w:rPr>
        <w:b/>
        <w:color w:val="A6BFDD" w:themeColor="accent1" w:themeShade="95" w:themeTint="80"/>
      </w:rPr>
      <w:tblPr/>
    </w:tblStylePr>
    <w:tblStylePr w:type="firstCol">
      <w:rPr>
        <w:b/>
        <w:color w:val="A6BFDD" w:themeColor="accent1" w:themeShade="95" w:themeTint="80"/>
      </w:rPr>
      <w:tblPr/>
    </w:tblStylePr>
    <w:tblStylePr w:type="lastCol">
      <w:rPr>
        <w:b/>
        <w:color w:val="A6BFDD" w:themeColor="accent1" w:themeShade="95" w:themeTint="80"/>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12" w:space="0"/>
        </w:tcBorders>
      </w:tcPr>
    </w:tblStylePr>
    <w:tblStylePr w:type="lastRow">
      <w:rPr>
        <w:b/>
        <w:color w:val="D99795" w:themeColor="accent2" w:themeShade="95" w:themeTint="97"/>
      </w:rPr>
      <w:tbl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blPr/>
      <w:tcPr>
        <w:tcBorders>
          <w:bottom w:val="single" w:color="9BBB59" w:themeColor="accent3" w:themeTint="FE" w:sz="12" w:space="0"/>
        </w:tcBorders>
      </w:tcPr>
    </w:tblStylePr>
    <w:tblStylePr w:type="lastRow">
      <w:rPr>
        <w:b/>
        <w:color w:val="9BBB59" w:themeColor="accent3" w:themeShade="95" w:themeTint="FE"/>
      </w:rPr>
      <w:tblPr/>
    </w:tblStylePr>
    <w:tblStylePr w:type="firstCol">
      <w:rPr>
        <w:b/>
        <w:color w:val="9BBB59" w:themeColor="accent3" w:themeShade="95" w:themeTint="FE"/>
      </w:rPr>
      <w:tblPr/>
    </w:tblStylePr>
    <w:tblStylePr w:type="lastCol">
      <w:rPr>
        <w:b/>
        <w:color w:val="9BBB59" w:themeColor="accent3" w:themeShade="95" w:themeTint="FE"/>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12" w:space="0"/>
        </w:tcBorders>
      </w:tcPr>
    </w:tblStylePr>
    <w:tblStylePr w:type="lastRow">
      <w:rPr>
        <w:b/>
        <w:color w:val="B2A1C6" w:themeColor="accent4" w:themeShade="95" w:themeTint="9A"/>
      </w:rPr>
      <w:tbl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9" w:themeColor="accent5" w:themeShade="95"/>
        <w:sz w:val="22"/>
      </w:rPr>
      <w:tblPr/>
      <w:tcPr>
        <w:shd w:val="clear" w:color="FDE9D9" w:themeColor="accent6" w:themeTint="34" w:fill="FDE9D9" w:themeFill="accent6"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7E7E7E" w:themeColor="text1" w:themeShade="95" w:themeTint="80"/>
        <w:sz w:val="22"/>
      </w:rPr>
      <w:tblPr/>
      <w:tcPr>
        <w:shd w:val="clear" w:color="F1F1F1" w:themeColor="text1" w:themeTint="0D" w:fill="F1F1F1" w:themeFill="text1" w:themeFillTint="0D"/>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15407" w:themeColor="accent6" w:themeShade="95"/>
        <w:sz w:val="22"/>
      </w:rPr>
      <w:tblPr/>
      <w:tcPr>
        <w:shd w:val="clear" w:color="FDE9D9" w:themeColor="accent6" w:themeTint="34" w:fill="FDE9D9" w:themeFill="accent6" w:themeFillTint="34"/>
      </w:tcPr>
    </w:tblStylePr>
    <w:tblStylePr w:type="band2Horz">
      <w:rPr>
        <w:rFonts w:ascii="Arial" w:hAnsi="Arial"/>
        <w:color w:val="B15407" w:themeColor="accent6" w:themeShade="95"/>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qForma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qFormat/>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qFormat/>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qFormat/>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qFormat/>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blPr/>
      <w:tcPr>
        <w:tcBorders>
          <w:bottom w:val="single" w:color="7E7E7E" w:themeColor="text1" w:themeTint="80" w:sz="4" w:space="0"/>
        </w:tcBorders>
      </w:tcPr>
    </w:tblStylePr>
    <w:tblStylePr w:type="lastRow">
      <w:rPr>
        <w:b/>
        <w:color w:val="000000" w:themeColor="text1"/>
      </w:rPr>
      <w:tblPr/>
      <w:tcPr>
        <w:tcBorders>
          <w:top w:val="single" w:color="7E7E7E" w:themeColor="text1" w:themeTint="80"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rPr>
      <w:tblPr/>
      <w:tcPr>
        <w:shd w:val="clear" w:color="BEBEBE" w:themeColor="text1" w:themeTint="40" w:fill="BEBEBE" w:themeFill="text1" w:themeFillTint="40"/>
      </w:tcPr>
    </w:tblStylePr>
    <w:tblStylePr w:type="band2Horz">
      <w:rPr>
        <w:rFonts w:ascii="Arial" w:hAnsi="Arial"/>
        <w:color w:val="000000" w:themeColor="text1"/>
        <w:sz w:val="22"/>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blPr/>
      <w:tcPr>
        <w:tcBorders>
          <w:bottom w:val="single" w:color="4F81BD" w:themeColor="accent1" w:sz="4" w:space="0"/>
        </w:tcBorders>
      </w:tcPr>
    </w:tblStylePr>
    <w:tblStylePr w:type="lastRow">
      <w:rPr>
        <w:b/>
        <w:color w:val="2A4B71" w:themeColor="accent1" w:themeShade="95"/>
      </w:rPr>
      <w:tblPr/>
      <w:tcPr>
        <w:tcBorders>
          <w:top w:val="single" w:color="4F81BD" w:themeColor="accent1" w:sz="4" w:space="0"/>
        </w:tcBorders>
      </w:tcPr>
    </w:tblStylePr>
    <w:tblStylePr w:type="firstCol">
      <w:rPr>
        <w:b/>
        <w:color w:val="2A4B71" w:themeColor="accent1" w:themeShade="95"/>
      </w:rPr>
      <w:tblPr/>
    </w:tblStylePr>
    <w:tblStylePr w:type="lastCol">
      <w:rPr>
        <w:b/>
        <w:color w:val="2A4B71" w:themeColor="accent1" w:themeShade="95"/>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4" w:space="0"/>
        </w:tcBorders>
      </w:tcPr>
    </w:tblStylePr>
    <w:tblStylePr w:type="lastRow">
      <w:rPr>
        <w:b/>
        <w:color w:val="D99795" w:themeColor="accent2" w:themeShade="95" w:themeTint="97"/>
      </w:rPr>
      <w:tblPr/>
      <w:tcPr>
        <w:tcBorders>
          <w:top w:val="single" w:color="D99795" w:themeColor="accent2" w:themeTint="97" w:sz="4" w:space="0"/>
        </w:tcBorders>
      </w:tc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blPr/>
      <w:tcPr>
        <w:tcBorders>
          <w:bottom w:val="single" w:color="C3D69C" w:themeColor="accent3" w:themeTint="98" w:sz="4" w:space="0"/>
        </w:tcBorders>
      </w:tcPr>
    </w:tblStylePr>
    <w:tblStylePr w:type="lastRow">
      <w:rPr>
        <w:b/>
        <w:color w:val="C3D69C" w:themeColor="accent3" w:themeShade="95" w:themeTint="98"/>
      </w:rPr>
      <w:tblPr/>
      <w:tcPr>
        <w:tcBorders>
          <w:top w:val="single" w:color="C3D69C" w:themeColor="accent3" w:themeTint="98" w:sz="4" w:space="0"/>
        </w:tcBorders>
      </w:tcPr>
    </w:tblStylePr>
    <w:tblStylePr w:type="firstCol">
      <w:rPr>
        <w:b/>
        <w:color w:val="C3D69C" w:themeColor="accent3" w:themeShade="95" w:themeTint="98"/>
      </w:rPr>
      <w:tblPr/>
    </w:tblStylePr>
    <w:tblStylePr w:type="lastCol">
      <w:rPr>
        <w:b/>
        <w:color w:val="C3D69C" w:themeColor="accent3" w:themeShade="95" w:themeTint="98"/>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4" w:space="0"/>
        </w:tcBorders>
      </w:tcPr>
    </w:tblStylePr>
    <w:tblStylePr w:type="lastRow">
      <w:rPr>
        <w:b/>
        <w:color w:val="B2A1C6" w:themeColor="accent4" w:themeShade="95" w:themeTint="9A"/>
      </w:rPr>
      <w:tblPr/>
      <w:tcPr>
        <w:tcBorders>
          <w:top w:val="single" w:color="B2A1C6" w:themeColor="accent4" w:themeTint="9A" w:sz="4" w:space="0"/>
        </w:tcBorders>
      </w:tc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blPr/>
      <w:tcPr>
        <w:tcBorders>
          <w:bottom w:val="single" w:color="92CCDC" w:themeColor="accent5" w:themeTint="9A" w:sz="4" w:space="0"/>
        </w:tcBorders>
      </w:tcPr>
    </w:tblStylePr>
    <w:tblStylePr w:type="lastRow">
      <w:rPr>
        <w:b/>
        <w:color w:val="92CCDC" w:themeColor="accent5" w:themeShade="95" w:themeTint="9A"/>
      </w:rPr>
      <w:tblPr/>
      <w:tcPr>
        <w:tcBorders>
          <w:top w:val="single" w:color="92CCDC" w:themeColor="accent5" w:themeTint="9A" w:sz="4" w:space="0"/>
        </w:tcBorders>
      </w:tcPr>
    </w:tblStylePr>
    <w:tblStylePr w:type="firstCol">
      <w:rPr>
        <w:b/>
        <w:color w:val="92CCDC" w:themeColor="accent5" w:themeShade="95" w:themeTint="9A"/>
      </w:rPr>
      <w:tblPr/>
    </w:tblStylePr>
    <w:tblStylePr w:type="lastCol">
      <w:rPr>
        <w:b/>
        <w:color w:val="92CCDC" w:themeColor="accent5" w:themeShade="95" w:themeTint="9A"/>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blPr/>
      <w:tcPr>
        <w:tcBorders>
          <w:bottom w:val="single" w:color="FAC090" w:themeColor="accent6" w:themeTint="98" w:sz="4" w:space="0"/>
        </w:tcBorders>
      </w:tcPr>
    </w:tblStylePr>
    <w:tblStylePr w:type="lastRow">
      <w:rPr>
        <w:b/>
        <w:color w:val="FAC090" w:themeColor="accent6" w:themeShade="95" w:themeTint="98"/>
      </w:rPr>
      <w:tblPr/>
      <w:tcPr>
        <w:tcBorders>
          <w:top w:val="single" w:color="FAC090" w:themeColor="accent6" w:themeTint="98" w:sz="4" w:space="0"/>
        </w:tcBorders>
      </w:tcPr>
    </w:tblStylePr>
    <w:tblStylePr w:type="firstCol">
      <w:rPr>
        <w:b/>
        <w:color w:val="FAC090" w:themeColor="accent6" w:themeShade="95" w:themeTint="98"/>
      </w:rPr>
      <w:tblPr/>
    </w:tblStylePr>
    <w:tblStylePr w:type="lastCol">
      <w:rPr>
        <w:b/>
        <w:color w:val="FAC090" w:themeColor="accent6" w:themeShade="95" w:themeTint="98"/>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7E7E7E" w:themeColor="text1" w:themeShade="95" w:themeTint="80"/>
        <w:sz w:val="22"/>
      </w:rPr>
      <w:tblPr/>
      <w:tcPr>
        <w:shd w:val="clear" w:color="BEBEBE" w:themeColor="text1" w:themeTint="40" w:fill="BEBEBE" w:themeFill="text1" w:themeFillTint="40"/>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8">
    <w:name w:val="Lined - Accen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imes New Roman" w:hAnsi="Times New Roman" w:eastAsia="宋体" w:cs="Times New Roman"/>
    </w:rPr>
  </w:style>
  <w:style w:type="character" w:customStyle="1" w:styleId="182">
    <w:name w:val="默认段落字体1"/>
    <w:link w:val="1"/>
    <w:semiHidden/>
    <w:qFormat/>
    <w:uiPriority w:val="0"/>
  </w:style>
  <w:style w:type="table" w:customStyle="1" w:styleId="183">
    <w:name w:val="普通表格1"/>
    <w:semiHidden/>
    <w:uiPriority w:val="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184">
    <w:name w:val="正文文本1"/>
    <w:basedOn w:val="1"/>
    <w:uiPriority w:val="0"/>
    <w:pPr>
      <w:jc w:val="center"/>
    </w:pPr>
    <w:rPr>
      <w:rFonts w:eastAsia="黑体"/>
      <w:sz w:val="36"/>
    </w:rPr>
  </w:style>
  <w:style w:type="paragraph" w:customStyle="1" w:styleId="185">
    <w:name w:val="页脚1"/>
    <w:basedOn w:val="1"/>
    <w:uiPriority w:val="0"/>
    <w:pPr>
      <w:tabs>
        <w:tab w:val="center" w:pos="4153"/>
        <w:tab w:val="right" w:pos="8306"/>
      </w:tabs>
      <w:jc w:val="left"/>
    </w:pPr>
    <w:rPr>
      <w:sz w:val="18"/>
    </w:rPr>
  </w:style>
  <w:style w:type="paragraph" w:customStyle="1" w:styleId="186">
    <w:name w:val="普通(网站)1"/>
    <w:basedOn w:val="1"/>
    <w:uiPriority w:val="0"/>
    <w:pPr>
      <w:widowControl/>
      <w:spacing w:before="100" w:beforeAutospacing="1" w:after="100" w:afterAutospacing="1"/>
      <w:jc w:val="left"/>
    </w:pPr>
    <w:rPr>
      <w:rFonts w:ascii="宋体" w:hAnsi="宋体" w:eastAsia="宋体" w:cs="宋体"/>
      <w:sz w:val="24"/>
      <w:szCs w:val="24"/>
    </w:rPr>
  </w:style>
  <w:style w:type="character" w:customStyle="1" w:styleId="187">
    <w:name w:val="页码1"/>
    <w:basedOn w:val="182"/>
    <w:link w:v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Template>
  <Pages>39</Pages>
  <Words>12140</Words>
  <Characters>16171</Characters>
  <TotalTime>0</TotalTime>
  <ScaleCrop>false</ScaleCrop>
  <LinksUpToDate>false</LinksUpToDate>
  <CharactersWithSpaces>17226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2021-07-15T01:49:00Z</dcterms:created>
  <dc:creator>Len</dc:creator>
  <cp:lastModifiedBy>赵玉玉</cp:lastModifiedBy>
  <dcterms:modified xsi:type="dcterms:W3CDTF">2025-02-18T01:12:48Z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CEBEC947EE4D4E1297DFCD33BCA68787_12</vt:lpwstr>
  </property>
</Properties>
</file>