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8175">
      <w:pPr>
        <w:jc w:val="center"/>
        <w:rPr>
          <w:rFonts w:hint="eastAsia" w:ascii="宋体" w:hAnsi="宋体"/>
          <w:b/>
          <w:sz w:val="36"/>
          <w:szCs w:val="36"/>
        </w:rPr>
      </w:pPr>
      <w:r>
        <w:rPr>
          <w:rFonts w:hint="eastAsia" w:ascii="宋体" w:hAnsi="宋体"/>
          <w:b/>
          <w:sz w:val="36"/>
          <w:szCs w:val="36"/>
          <w:lang w:val="en-US" w:eastAsia="zh-CN"/>
        </w:rPr>
        <w:t>淮南市</w:t>
      </w:r>
      <w:r>
        <w:rPr>
          <w:rFonts w:hint="eastAsia" w:ascii="宋体" w:hAnsi="宋体"/>
          <w:b/>
          <w:sz w:val="36"/>
          <w:szCs w:val="36"/>
          <w:lang w:eastAsia="zh-CN"/>
        </w:rPr>
        <w:t>财政国库支付中心202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76F469C1">
      <w:pPr>
        <w:jc w:val="center"/>
        <w:rPr>
          <w:rFonts w:hint="eastAsia" w:ascii="楷体_GB2312" w:eastAsia="楷体_GB2312"/>
          <w:szCs w:val="32"/>
        </w:rPr>
      </w:pPr>
    </w:p>
    <w:p w14:paraId="3E1898B6">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14:paraId="161B4DE9">
      <w:pPr>
        <w:ind w:firstLine="6720" w:firstLineChars="2100"/>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5B8EC91E">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BADF95C">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1A068E7C">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666DB920">
            <w:pPr>
              <w:widowControl/>
              <w:jc w:val="center"/>
              <w:rPr>
                <w:rFonts w:ascii="宋体" w:hAnsi="宋体" w:cs="宋体"/>
                <w:b/>
                <w:bCs/>
                <w:kern w:val="0"/>
                <w:szCs w:val="21"/>
              </w:rPr>
            </w:pPr>
            <w:r>
              <w:rPr>
                <w:rFonts w:hint="eastAsia" w:ascii="宋体" w:hAnsi="宋体" w:cs="宋体"/>
                <w:b/>
                <w:bCs/>
                <w:kern w:val="0"/>
                <w:szCs w:val="21"/>
              </w:rPr>
              <w:t>决 算 数</w:t>
            </w:r>
          </w:p>
        </w:tc>
      </w:tr>
      <w:tr w14:paraId="7F03F30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5FFBF73">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5D346656">
            <w:pPr>
              <w:widowControl/>
              <w:jc w:val="center"/>
              <w:rPr>
                <w:rFonts w:ascii="宋体" w:hAnsi="宋体" w:cs="宋体"/>
                <w:b/>
                <w:bCs/>
                <w:kern w:val="0"/>
                <w:szCs w:val="21"/>
              </w:rPr>
            </w:pPr>
            <w:r>
              <w:rPr>
                <w:rFonts w:hint="eastAsia" w:ascii="宋体" w:hAnsi="宋体" w:cs="宋体"/>
                <w:b/>
                <w:bCs/>
                <w:kern w:val="0"/>
                <w:szCs w:val="21"/>
                <w:lang w:val="en-US" w:eastAsia="zh-CN"/>
              </w:rPr>
              <w:t>0.20</w:t>
            </w:r>
          </w:p>
        </w:tc>
        <w:tc>
          <w:tcPr>
            <w:tcW w:w="2220" w:type="dxa"/>
            <w:tcBorders>
              <w:top w:val="nil"/>
              <w:left w:val="nil"/>
              <w:bottom w:val="single" w:color="auto" w:sz="4" w:space="0"/>
              <w:right w:val="single" w:color="auto" w:sz="4" w:space="0"/>
            </w:tcBorders>
            <w:noWrap w:val="0"/>
            <w:vAlign w:val="center"/>
          </w:tcPr>
          <w:p w14:paraId="35197AF5">
            <w:pPr>
              <w:widowControl/>
              <w:jc w:val="center"/>
              <w:rPr>
                <w:rFonts w:ascii="宋体" w:hAnsi="宋体" w:cs="宋体"/>
                <w:b/>
                <w:bCs/>
                <w:kern w:val="0"/>
                <w:szCs w:val="21"/>
              </w:rPr>
            </w:pPr>
            <w:r>
              <w:rPr>
                <w:rFonts w:hint="eastAsia" w:ascii="宋体" w:hAnsi="宋体" w:cs="宋体"/>
                <w:b/>
                <w:bCs/>
                <w:kern w:val="0"/>
                <w:szCs w:val="21"/>
                <w:lang w:val="en-US" w:eastAsia="zh-CN"/>
              </w:rPr>
              <w:t>0.14</w:t>
            </w:r>
          </w:p>
        </w:tc>
      </w:tr>
      <w:tr w14:paraId="417BDDA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91A7F95">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32341DEA">
            <w:pPr>
              <w:widowControl/>
              <w:jc w:val="center"/>
              <w:rPr>
                <w:rFonts w:ascii="宋体" w:hAnsi="宋体" w:cs="宋体"/>
                <w:kern w:val="0"/>
                <w:szCs w:val="21"/>
              </w:rPr>
            </w:pPr>
          </w:p>
        </w:tc>
        <w:tc>
          <w:tcPr>
            <w:tcW w:w="2220" w:type="dxa"/>
            <w:tcBorders>
              <w:top w:val="nil"/>
              <w:left w:val="nil"/>
              <w:bottom w:val="single" w:color="auto" w:sz="4" w:space="0"/>
              <w:right w:val="single" w:color="auto" w:sz="4" w:space="0"/>
            </w:tcBorders>
            <w:noWrap w:val="0"/>
            <w:vAlign w:val="bottom"/>
          </w:tcPr>
          <w:p w14:paraId="60F520EB">
            <w:pPr>
              <w:widowControl/>
              <w:jc w:val="center"/>
              <w:rPr>
                <w:rFonts w:ascii="宋体" w:hAnsi="宋体" w:cs="宋体"/>
                <w:kern w:val="0"/>
                <w:szCs w:val="21"/>
              </w:rPr>
            </w:pPr>
          </w:p>
        </w:tc>
      </w:tr>
      <w:tr w14:paraId="0B6D53D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80D3D33">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6F2A352B">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0.20</w:t>
            </w:r>
          </w:p>
        </w:tc>
        <w:tc>
          <w:tcPr>
            <w:tcW w:w="2220" w:type="dxa"/>
            <w:tcBorders>
              <w:top w:val="nil"/>
              <w:left w:val="nil"/>
              <w:bottom w:val="single" w:color="auto" w:sz="4" w:space="0"/>
              <w:right w:val="single" w:color="auto" w:sz="4" w:space="0"/>
            </w:tcBorders>
            <w:noWrap w:val="0"/>
            <w:vAlign w:val="bottom"/>
          </w:tcPr>
          <w:p w14:paraId="471316B8">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0.14</w:t>
            </w:r>
          </w:p>
        </w:tc>
      </w:tr>
      <w:tr w14:paraId="5AF9C35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AB89547">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C5EF96C">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683AE793">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r>
      <w:tr w14:paraId="536F8A7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2BCEEE2">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6A0CC611">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64A77E4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r>
      <w:tr w14:paraId="6FAF95F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B06F892">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266F7A0A">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14:paraId="6272F8C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0.00</w:t>
            </w:r>
          </w:p>
        </w:tc>
      </w:tr>
    </w:tbl>
    <w:p w14:paraId="174B06D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F7C00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3BA262A1">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EFF465F">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31A49DA">
      <w:pPr>
        <w:ind w:firstLine="640" w:firstLineChars="200"/>
        <w:rPr>
          <w:rFonts w:hint="eastAsia" w:ascii="仿宋_GB2312" w:hAnsi="仿宋"/>
          <w:szCs w:val="32"/>
        </w:rPr>
      </w:pPr>
      <w:r>
        <w:rPr>
          <w:rFonts w:hint="eastAsia" w:ascii="仿宋_GB2312" w:hAnsi="仿宋"/>
          <w:szCs w:val="32"/>
          <w:lang w:val="en-US" w:eastAsia="zh-CN"/>
        </w:rPr>
        <w:t>淮南市</w:t>
      </w:r>
      <w:r>
        <w:rPr>
          <w:rFonts w:hint="eastAsia" w:ascii="仿宋_GB2312" w:hAnsi="仿宋"/>
          <w:szCs w:val="32"/>
          <w:lang w:eastAsia="zh-CN"/>
        </w:rPr>
        <w:t>财政国库支付中心202</w:t>
      </w:r>
      <w:r>
        <w:rPr>
          <w:rFonts w:hint="eastAsia" w:ascii="仿宋_GB2312" w:hAnsi="仿宋"/>
          <w:szCs w:val="32"/>
          <w:lang w:val="en-US" w:eastAsia="zh-CN"/>
        </w:rPr>
        <w:t>4</w:t>
      </w:r>
      <w:r>
        <w:rPr>
          <w:rFonts w:hint="eastAsia" w:ascii="仿宋_GB2312" w:hAnsi="仿宋"/>
          <w:szCs w:val="32"/>
        </w:rPr>
        <w:t>年度一般公共预算财政拨款“三公”经费支出预算为</w:t>
      </w:r>
      <w:r>
        <w:rPr>
          <w:rFonts w:hint="eastAsia" w:ascii="仿宋_GB2312" w:hAnsi="仿宋"/>
          <w:szCs w:val="32"/>
          <w:lang w:val="en-US" w:eastAsia="zh-CN"/>
        </w:rPr>
        <w:t>0.20</w:t>
      </w:r>
      <w:r>
        <w:rPr>
          <w:rFonts w:hint="eastAsia" w:ascii="仿宋_GB2312" w:hAnsi="仿宋"/>
          <w:szCs w:val="32"/>
        </w:rPr>
        <w:t>万元，支出决算为</w:t>
      </w:r>
      <w:r>
        <w:rPr>
          <w:rFonts w:hint="eastAsia" w:ascii="仿宋_GB2312" w:hAnsi="仿宋"/>
          <w:szCs w:val="32"/>
          <w:lang w:val="en-US" w:eastAsia="zh-CN"/>
        </w:rPr>
        <w:t>0.14</w:t>
      </w:r>
      <w:r>
        <w:rPr>
          <w:rFonts w:hint="eastAsia" w:ascii="仿宋_GB2312" w:hAnsi="仿宋"/>
          <w:szCs w:val="32"/>
        </w:rPr>
        <w:t>万元，完成预算的</w:t>
      </w:r>
      <w:r>
        <w:rPr>
          <w:rFonts w:hint="eastAsia" w:ascii="仿宋_GB2312" w:hAnsi="仿宋"/>
          <w:szCs w:val="32"/>
          <w:lang w:val="en-US" w:eastAsia="zh-CN"/>
        </w:rPr>
        <w:t>70.00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0.06</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30.00%。</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eastAsia="仿宋_GB2312"/>
          <w:sz w:val="32"/>
          <w:szCs w:val="32"/>
        </w:rPr>
        <w:t>根据经费使用规定，严格控制三公经费支出</w:t>
      </w:r>
      <w:r>
        <w:rPr>
          <w:rFonts w:hint="eastAsia" w:ascii="仿宋_GB2312" w:hAnsi="仿宋"/>
          <w:szCs w:val="32"/>
        </w:rPr>
        <w:t>。</w:t>
      </w:r>
    </w:p>
    <w:p w14:paraId="3759FF07">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0CC2FB74">
      <w:pPr>
        <w:ind w:firstLine="640" w:firstLineChars="200"/>
        <w:rPr>
          <w:rFonts w:hint="eastAsia" w:ascii="仿宋_GB2312" w:hAnsi="仿宋"/>
          <w:szCs w:val="32"/>
        </w:rPr>
      </w:pPr>
      <w:r>
        <w:rPr>
          <w:rFonts w:hint="eastAsia" w:ascii="仿宋_GB2312" w:hAnsi="仿宋"/>
          <w:szCs w:val="32"/>
          <w:lang w:val="en-US" w:eastAsia="zh-CN"/>
        </w:rPr>
        <w:t>淮南市</w:t>
      </w:r>
      <w:r>
        <w:rPr>
          <w:rFonts w:hint="eastAsia" w:ascii="仿宋_GB2312" w:hAnsi="仿宋"/>
          <w:szCs w:val="32"/>
          <w:lang w:eastAsia="zh-CN"/>
        </w:rPr>
        <w:t>财政国库支付中心202</w:t>
      </w:r>
      <w:r>
        <w:rPr>
          <w:rFonts w:hint="eastAsia" w:ascii="仿宋_GB2312" w:hAnsi="仿宋"/>
          <w:szCs w:val="32"/>
          <w:lang w:val="en-US" w:eastAsia="zh-CN"/>
        </w:rPr>
        <w:t>4</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%;公务接待费支出决算</w:t>
      </w:r>
      <w:r>
        <w:rPr>
          <w:rFonts w:hint="eastAsia" w:ascii="仿宋_GB2312" w:hAnsi="仿宋"/>
          <w:szCs w:val="32"/>
          <w:lang w:val="en-US" w:eastAsia="zh-CN"/>
        </w:rPr>
        <w:t>0.14</w:t>
      </w:r>
      <w:r>
        <w:rPr>
          <w:rFonts w:hint="eastAsia" w:ascii="仿宋_GB2312" w:hAnsi="仿宋"/>
          <w:szCs w:val="32"/>
        </w:rPr>
        <w:t>万元，占</w:t>
      </w:r>
      <w:r>
        <w:rPr>
          <w:rFonts w:hint="eastAsia" w:ascii="仿宋_GB2312" w:hAnsi="仿宋"/>
          <w:szCs w:val="32"/>
          <w:lang w:val="en-US" w:eastAsia="zh-CN"/>
        </w:rPr>
        <w:t>10.00</w:t>
      </w:r>
      <w:r>
        <w:rPr>
          <w:rFonts w:hint="eastAsia" w:ascii="仿宋_GB2312" w:hAnsi="仿宋"/>
          <w:szCs w:val="32"/>
        </w:rPr>
        <w:t>%；公务用车购置及运行维护费支出决算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%。具体情况如下：</w:t>
      </w:r>
    </w:p>
    <w:p w14:paraId="03A666CC">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w:t>
      </w:r>
      <w:r>
        <w:rPr>
          <w:rFonts w:hint="eastAsia" w:ascii="仿宋_GB2312" w:hAnsi="仿宋"/>
          <w:szCs w:val="32"/>
          <w:lang w:eastAsia="zh-CN"/>
        </w:rPr>
        <w:t>财政国库支付中心</w:t>
      </w:r>
      <w:r>
        <w:rPr>
          <w:rFonts w:hint="eastAsia" w:ascii="仿宋_GB2312" w:hAnsi="仿宋"/>
          <w:szCs w:val="32"/>
        </w:rPr>
        <w:t>因公出国（境）团组</w:t>
      </w:r>
      <w:r>
        <w:rPr>
          <w:rFonts w:hint="eastAsia" w:ascii="仿宋_GB2312" w:hAnsi="仿宋"/>
          <w:szCs w:val="32"/>
          <w:lang w:val="en-US" w:eastAsia="zh-CN"/>
        </w:rPr>
        <w:t>0.00</w:t>
      </w:r>
      <w:r>
        <w:rPr>
          <w:rFonts w:hint="eastAsia" w:ascii="仿宋_GB2312" w:hAnsi="仿宋"/>
          <w:szCs w:val="32"/>
        </w:rPr>
        <w:t>次，累计出国（境）</w:t>
      </w:r>
      <w:r>
        <w:rPr>
          <w:rFonts w:hint="eastAsia" w:ascii="仿宋_GB2312" w:hAnsi="仿宋"/>
          <w:szCs w:val="32"/>
          <w:lang w:val="en-US" w:eastAsia="zh-CN"/>
        </w:rPr>
        <w:t>0.00</w:t>
      </w:r>
      <w:r>
        <w:rPr>
          <w:rFonts w:hint="eastAsia" w:ascii="仿宋_GB2312" w:hAnsi="仿宋"/>
          <w:szCs w:val="32"/>
        </w:rPr>
        <w:t>人次。该项经费根据省外办批准的因公临时出国（境）计划，按照规定标准安排。经费使用严格按照</w:t>
      </w:r>
      <w:r>
        <w:rPr>
          <w:rFonts w:hint="eastAsia" w:ascii="仿宋_GB2312" w:hAnsi="仿宋"/>
          <w:szCs w:val="32"/>
          <w:lang w:val="en-US" w:eastAsia="zh-CN"/>
        </w:rPr>
        <w:t>淮南市财政局淮南市人民政府外事办公室关于印发《淮南市市直党政机关因公临时出国经费管理办法》的通知（淮财行政</w:t>
      </w:r>
      <w:r>
        <w:rPr>
          <w:rFonts w:hint="eastAsia" w:ascii="仿宋_GB2312" w:hAnsi="仿宋"/>
          <w:szCs w:val="32"/>
        </w:rPr>
        <w:t>〔201</w:t>
      </w:r>
      <w:r>
        <w:rPr>
          <w:rFonts w:hint="eastAsia" w:ascii="仿宋_GB2312" w:hAnsi="仿宋"/>
          <w:szCs w:val="32"/>
          <w:lang w:val="en-US" w:eastAsia="zh-CN"/>
        </w:rPr>
        <w:t>4</w:t>
      </w:r>
      <w:r>
        <w:rPr>
          <w:rFonts w:hint="eastAsia" w:ascii="仿宋_GB2312" w:hAnsi="仿宋"/>
          <w:szCs w:val="32"/>
        </w:rPr>
        <w:t>〕</w:t>
      </w:r>
      <w:r>
        <w:rPr>
          <w:rFonts w:hint="eastAsia" w:ascii="仿宋_GB2312" w:hAnsi="仿宋"/>
          <w:szCs w:val="32"/>
          <w:lang w:val="en-US" w:eastAsia="zh-CN"/>
        </w:rPr>
        <w:t>65</w:t>
      </w:r>
      <w:r>
        <w:rPr>
          <w:rFonts w:hint="eastAsia" w:ascii="仿宋_GB2312" w:hAnsi="仿宋"/>
          <w:szCs w:val="32"/>
        </w:rPr>
        <w:t>号</w:t>
      </w:r>
      <w:r>
        <w:rPr>
          <w:rFonts w:hint="eastAsia" w:ascii="仿宋_GB2312" w:hAnsi="仿宋"/>
          <w:szCs w:val="32"/>
          <w:lang w:val="en-US" w:eastAsia="zh-CN"/>
        </w:rPr>
        <w:t>）、淮南市财政局关于转发</w:t>
      </w:r>
      <w:r>
        <w:rPr>
          <w:rFonts w:hint="eastAsia" w:ascii="仿宋_GB2312" w:hAnsi="仿宋"/>
          <w:szCs w:val="32"/>
        </w:rPr>
        <w:t>《安徽省省直党政机关因公</w:t>
      </w:r>
      <w:r>
        <w:rPr>
          <w:rFonts w:hint="eastAsia" w:ascii="仿宋_GB2312" w:hAnsi="仿宋"/>
          <w:szCs w:val="32"/>
          <w:lang w:val="en-US" w:eastAsia="zh-CN"/>
        </w:rPr>
        <w:t>短期出国培训</w:t>
      </w:r>
      <w:r>
        <w:rPr>
          <w:rFonts w:hint="eastAsia" w:ascii="仿宋_GB2312" w:hAnsi="仿宋"/>
          <w:szCs w:val="32"/>
        </w:rPr>
        <w:t>管理办法》</w:t>
      </w:r>
      <w:r>
        <w:rPr>
          <w:rFonts w:hint="eastAsia" w:ascii="仿宋_GB2312" w:hAnsi="仿宋"/>
          <w:szCs w:val="32"/>
          <w:lang w:val="en-US" w:eastAsia="zh-CN"/>
        </w:rPr>
        <w:t>的通知</w:t>
      </w:r>
      <w:r>
        <w:rPr>
          <w:rFonts w:hint="eastAsia" w:ascii="仿宋_GB2312" w:hAnsi="仿宋"/>
          <w:szCs w:val="32"/>
        </w:rPr>
        <w:t>（</w:t>
      </w:r>
      <w:r>
        <w:rPr>
          <w:rFonts w:hint="eastAsia" w:ascii="仿宋_GB2312" w:hAnsi="仿宋"/>
          <w:szCs w:val="32"/>
          <w:lang w:val="en-US" w:eastAsia="zh-CN"/>
        </w:rPr>
        <w:t>淮财行政</w:t>
      </w:r>
      <w:r>
        <w:rPr>
          <w:rFonts w:hint="eastAsia" w:ascii="仿宋_GB2312" w:hAnsi="仿宋"/>
          <w:szCs w:val="32"/>
        </w:rPr>
        <w:t>〔201</w:t>
      </w:r>
      <w:r>
        <w:rPr>
          <w:rFonts w:hint="eastAsia" w:ascii="仿宋_GB2312" w:hAnsi="仿宋"/>
          <w:szCs w:val="32"/>
          <w:lang w:val="en-US" w:eastAsia="zh-CN"/>
        </w:rPr>
        <w:t>5</w:t>
      </w:r>
      <w:r>
        <w:rPr>
          <w:rFonts w:hint="eastAsia" w:ascii="仿宋_GB2312" w:hAnsi="仿宋"/>
          <w:szCs w:val="32"/>
        </w:rPr>
        <w:t>〕</w:t>
      </w:r>
      <w:r>
        <w:rPr>
          <w:rFonts w:hint="eastAsia" w:ascii="仿宋_GB2312" w:hAnsi="仿宋"/>
          <w:szCs w:val="32"/>
          <w:lang w:val="en-US" w:eastAsia="zh-CN"/>
        </w:rPr>
        <w:t>551</w:t>
      </w:r>
      <w:r>
        <w:rPr>
          <w:rFonts w:hint="eastAsia" w:ascii="仿宋_GB2312" w:hAnsi="仿宋"/>
          <w:szCs w:val="32"/>
        </w:rPr>
        <w:t>号）等相关规定执行。</w:t>
      </w:r>
    </w:p>
    <w:p w14:paraId="44B37663">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0.20</w:t>
      </w:r>
      <w:r>
        <w:rPr>
          <w:rFonts w:hint="eastAsia" w:ascii="仿宋_GB2312" w:hAnsi="仿宋"/>
          <w:szCs w:val="32"/>
          <w:lang w:eastAsia="zh-CN"/>
        </w:rPr>
        <w:t>万元，支出决算为</w:t>
      </w:r>
      <w:r>
        <w:rPr>
          <w:rFonts w:hint="eastAsia" w:ascii="仿宋_GB2312" w:hAnsi="仿宋"/>
          <w:szCs w:val="32"/>
          <w:lang w:val="en-US" w:eastAsia="zh-CN"/>
        </w:rPr>
        <w:t>0.14万元</w:t>
      </w:r>
      <w:r>
        <w:rPr>
          <w:rFonts w:hint="eastAsia" w:ascii="仿宋_GB2312" w:hAnsi="仿宋"/>
          <w:szCs w:val="32"/>
          <w:lang w:eastAsia="zh-CN"/>
        </w:rPr>
        <w:t>，完成预算的</w:t>
      </w:r>
      <w:r>
        <w:rPr>
          <w:rFonts w:hint="eastAsia" w:ascii="仿宋_GB2312" w:hAnsi="仿宋"/>
          <w:szCs w:val="32"/>
          <w:lang w:val="en-US" w:eastAsia="zh-CN"/>
        </w:rPr>
        <w:t>70.00</w:t>
      </w:r>
      <w:r>
        <w:rPr>
          <w:rFonts w:hint="eastAsia" w:ascii="仿宋_GB2312" w:hAnsi="仿宋"/>
          <w:szCs w:val="32"/>
          <w:lang w:eastAsia="zh-CN"/>
        </w:rPr>
        <w:t>%；较上年减少</w:t>
      </w:r>
      <w:r>
        <w:rPr>
          <w:rFonts w:hint="eastAsia" w:ascii="仿宋_GB2312" w:hAnsi="仿宋"/>
          <w:szCs w:val="32"/>
          <w:lang w:val="en-US" w:eastAsia="zh-CN"/>
        </w:rPr>
        <w:t>0.06</w:t>
      </w:r>
      <w:r>
        <w:rPr>
          <w:rFonts w:hint="eastAsia" w:ascii="仿宋_GB2312" w:hAnsi="仿宋"/>
          <w:szCs w:val="32"/>
          <w:lang w:eastAsia="zh-CN"/>
        </w:rPr>
        <w:t>万元，下降</w:t>
      </w:r>
      <w:r>
        <w:rPr>
          <w:rFonts w:hint="eastAsia" w:ascii="仿宋_GB2312" w:hAnsi="仿宋"/>
          <w:szCs w:val="32"/>
          <w:lang w:val="en-US" w:eastAsia="zh-CN"/>
        </w:rPr>
        <w:t>30.00%。</w:t>
      </w:r>
      <w:r>
        <w:rPr>
          <w:rFonts w:hint="eastAsia" w:ascii="仿宋_GB2312" w:hAnsi="仿宋"/>
          <w:szCs w:val="32"/>
          <w:lang w:eastAsia="zh-CN"/>
        </w:rPr>
        <w:t>决算数小于预算数的主要原因是</w:t>
      </w:r>
      <w:r>
        <w:rPr>
          <w:rFonts w:hint="eastAsia" w:ascii="仿宋_GB2312" w:hAnsi="仿宋" w:eastAsia="仿宋_GB2312"/>
          <w:sz w:val="32"/>
          <w:szCs w:val="32"/>
        </w:rPr>
        <w:t>根据经费使用规定，严格控制三公经费支出</w:t>
      </w:r>
      <w:r>
        <w:rPr>
          <w:rFonts w:hint="eastAsia" w:ascii="仿宋_GB2312" w:hAnsi="仿宋"/>
          <w:szCs w:val="32"/>
          <w:lang w:eastAsia="zh-CN"/>
        </w:rPr>
        <w:t>。决算数较上年减少的主要原因是根据上级要求，节约经费，减少支出。202</w:t>
      </w:r>
      <w:r>
        <w:rPr>
          <w:rFonts w:hint="eastAsia" w:ascii="仿宋_GB2312" w:hAnsi="仿宋"/>
          <w:szCs w:val="32"/>
          <w:lang w:val="en-US" w:eastAsia="zh-CN"/>
        </w:rPr>
        <w:t>4</w:t>
      </w:r>
      <w:r>
        <w:rPr>
          <w:rFonts w:hint="eastAsia" w:ascii="仿宋_GB2312" w:hAnsi="仿宋"/>
          <w:szCs w:val="32"/>
        </w:rPr>
        <w:t>年</w:t>
      </w:r>
      <w:r>
        <w:rPr>
          <w:rFonts w:hint="eastAsia" w:ascii="仿宋_GB2312" w:hAnsi="仿宋"/>
          <w:szCs w:val="32"/>
          <w:lang w:val="en-US" w:eastAsia="zh-CN"/>
        </w:rPr>
        <w:t>淮南市</w:t>
      </w:r>
      <w:r>
        <w:rPr>
          <w:rFonts w:hint="eastAsia" w:ascii="仿宋_GB2312" w:hAnsi="仿宋"/>
          <w:szCs w:val="32"/>
          <w:lang w:eastAsia="zh-CN"/>
        </w:rPr>
        <w:t>财政国库支付中心</w:t>
      </w:r>
      <w:r>
        <w:rPr>
          <w:rFonts w:hint="eastAsia" w:ascii="仿宋_GB2312" w:hAnsi="仿宋"/>
          <w:szCs w:val="32"/>
        </w:rPr>
        <w:t>国内公务接待共</w:t>
      </w:r>
      <w:r>
        <w:rPr>
          <w:rFonts w:hint="eastAsia" w:ascii="仿宋_GB2312" w:hAnsi="仿宋"/>
          <w:szCs w:val="32"/>
          <w:lang w:val="en-US" w:eastAsia="zh-CN"/>
        </w:rPr>
        <w:t>1</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15</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eastAsia="zh-CN"/>
        </w:rPr>
        <w:t>日常工作接待事务</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w:t>
      </w:r>
      <w:r>
        <w:rPr>
          <w:rFonts w:hint="eastAsia" w:ascii="仿宋_GB2312" w:hAnsi="仿宋"/>
          <w:szCs w:val="32"/>
          <w:lang w:eastAsia="zh-CN"/>
        </w:rPr>
        <w:t>淮南市党政机关国内公务接待管理办法</w:t>
      </w:r>
      <w:r>
        <w:rPr>
          <w:rFonts w:hint="eastAsia" w:ascii="仿宋_GB2312" w:hAnsi="仿宋"/>
          <w:szCs w:val="32"/>
        </w:rPr>
        <w:t>》（</w:t>
      </w:r>
      <w:r>
        <w:rPr>
          <w:rFonts w:hint="eastAsia" w:ascii="仿宋_GB2312" w:hAnsi="仿宋"/>
          <w:szCs w:val="32"/>
          <w:lang w:val="en-US" w:eastAsia="zh-CN"/>
        </w:rPr>
        <w:t>淮办发</w:t>
      </w:r>
      <w:r>
        <w:rPr>
          <w:rFonts w:hint="eastAsia" w:ascii="仿宋_GB2312" w:hAnsi="仿宋"/>
          <w:szCs w:val="32"/>
        </w:rPr>
        <w:t>〔20</w:t>
      </w:r>
      <w:r>
        <w:rPr>
          <w:rFonts w:hint="eastAsia" w:ascii="仿宋_GB2312" w:hAnsi="仿宋"/>
          <w:szCs w:val="32"/>
          <w:lang w:val="en-US" w:eastAsia="zh-CN"/>
        </w:rPr>
        <w:t>2</w:t>
      </w:r>
      <w:r>
        <w:rPr>
          <w:rFonts w:hint="eastAsia" w:ascii="仿宋_GB2312" w:hAnsi="仿宋"/>
          <w:szCs w:val="32"/>
        </w:rPr>
        <w:t>4〕2</w:t>
      </w:r>
      <w:r>
        <w:rPr>
          <w:rFonts w:hint="eastAsia" w:ascii="仿宋_GB2312" w:hAnsi="仿宋"/>
          <w:szCs w:val="32"/>
          <w:lang w:val="en-US" w:eastAsia="zh-CN"/>
        </w:rPr>
        <w:t>2</w:t>
      </w:r>
      <w:r>
        <w:rPr>
          <w:rFonts w:hint="eastAsia" w:ascii="仿宋_GB2312" w:hAnsi="仿宋"/>
          <w:szCs w:val="32"/>
        </w:rPr>
        <w:t>号）</w:t>
      </w:r>
      <w:r>
        <w:rPr>
          <w:rFonts w:hint="eastAsia" w:ascii="仿宋_GB2312" w:hAnsi="仿宋"/>
          <w:szCs w:val="32"/>
          <w:lang w:eastAsia="zh-CN"/>
        </w:rPr>
        <w:t>等</w:t>
      </w:r>
      <w:r>
        <w:rPr>
          <w:rFonts w:hint="eastAsia" w:ascii="仿宋_GB2312" w:hAnsi="仿宋"/>
          <w:szCs w:val="32"/>
        </w:rPr>
        <w:t>相关规定。</w:t>
      </w:r>
    </w:p>
    <w:p w14:paraId="30701D7F">
      <w:pPr>
        <w:ind w:firstLine="643" w:firstLineChars="200"/>
        <w:rPr>
          <w:rFonts w:hint="eastAsia" w:ascii="仿宋_GB2312" w:eastAsia="仿宋_GB2312"/>
          <w:sz w:val="32"/>
        </w:rPr>
      </w:pPr>
      <w:bookmarkStart w:id="0" w:name="_GoBack"/>
      <w:bookmarkEnd w:id="0"/>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年购置公务用车</w:t>
      </w:r>
      <w:r>
        <w:rPr>
          <w:rFonts w:hint="eastAsia" w:ascii="仿宋_GB2312" w:hAnsi="仿宋"/>
          <w:szCs w:val="32"/>
          <w:lang w:val="en-US" w:eastAsia="zh-CN"/>
        </w:rPr>
        <w:t>0</w:t>
      </w:r>
      <w:r>
        <w:rPr>
          <w:rFonts w:hint="eastAsia" w:ascii="仿宋_GB2312" w:hAnsi="仿宋"/>
          <w:szCs w:val="32"/>
        </w:rPr>
        <w:t>辆。公务用车运行维护费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lang w:eastAsia="zh-CN"/>
        </w:rPr>
        <w:t>。</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4</w:t>
      </w:r>
      <w:r>
        <w:rPr>
          <w:rFonts w:hint="eastAsia" w:ascii="仿宋_GB2312" w:hAnsi="仿宋"/>
          <w:szCs w:val="32"/>
        </w:rPr>
        <w:t>年12月31日，</w:t>
      </w:r>
      <w:r>
        <w:rPr>
          <w:rFonts w:hint="eastAsia" w:ascii="仿宋_GB2312" w:hAnsi="仿宋"/>
          <w:szCs w:val="32"/>
          <w:lang w:val="en-US" w:eastAsia="zh-CN"/>
        </w:rPr>
        <w:t>淮南市财政国库支付中心</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4F7E0B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874EE"/>
    <w:rsid w:val="1199719A"/>
    <w:rsid w:val="17005FBC"/>
    <w:rsid w:val="22E31B8E"/>
    <w:rsid w:val="244F2331"/>
    <w:rsid w:val="2AB4113F"/>
    <w:rsid w:val="311A5A74"/>
    <w:rsid w:val="358931C8"/>
    <w:rsid w:val="42FA5706"/>
    <w:rsid w:val="586631C9"/>
    <w:rsid w:val="68ED05EF"/>
    <w:rsid w:val="71F17B50"/>
    <w:rsid w:val="74017DF2"/>
    <w:rsid w:val="7AA5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1288</Words>
  <Characters>1503</Characters>
  <Lines>0</Lines>
  <Paragraphs>0</Paragraphs>
  <TotalTime>0</TotalTime>
  <ScaleCrop>false</ScaleCrop>
  <LinksUpToDate>false</LinksUpToDate>
  <CharactersWithSpaces>1569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2025-07-23T08:42:00Z</dcterms:created>
  <dc:creator>Administrator</dc:creator>
  <cp:lastModifiedBy>两个人的精彩</cp:lastModifiedBy>
  <dcterms:modified xsi:type="dcterms:W3CDTF">2025-07-30T08:48:33Z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eyJoZGlkIjoiNDVjYzEyNjQyNzU2NTUyZjFhOTY2YzA2YzkzN2Q1M2YiLCJ1c2VySWQiOiI2NjkwNDg5NjgifQ==</vt:lpwstr>
  </property>
  <property fmtid="{D5CDD505-2E9C-101B-9397-08002B2CF9AE}" pid="4" name="ICV">
    <vt:lpwstr>06E7B9137DBF4E3CA418F06766452E99_13</vt:lpwstr>
  </property>
</Properties>
</file>