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关于《淮南市市级行政事业单位国有资产配置管理办法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》《淮南市市级行政事业单位国有资产使用管理办法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（征求意见稿）</w:t>
      </w:r>
      <w:bookmarkStart w:id="7" w:name="_GoBack"/>
      <w:bookmarkEnd w:id="7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》《淮南市市级行政事业单位国有资产处置管理办法（征求意见稿）》起草说明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背景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和过程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OLE_LINK5"/>
      <w:bookmarkStart w:id="1" w:name="OLE_LINK3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根据《行政事业性国有资产管理条例》（国务院令第738号）</w:t>
      </w:r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定，2024年经省政府同意，省财政厅印发了省级行政事业单位配置、使用、处置三个管理办法，提出资产配置讲求绩效、优先公物仓调剂等，细化使用管理内容和操作流程，下调处置审批权限，强化资产管理规范性和可操作性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参照省财政厅管理办法，结合我市实际，草拟了《淮南市市级行政事业单位国有资产配置管理办法（征求意见稿）》《淮南市市级行政事业单位国有资产使用管理办法（征求意见稿）》《淮南市市级行政事业单位国有资产处置管理办法（征求意见稿）》，书面征求市机关事务管理局、市公管局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部门意见后，修改完善</w:t>
      </w:r>
      <w:bookmarkEnd w:id="1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形成三个《管理办法（送审稿）》，目前已完成合法性审查。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《配置管理办法</w:t>
      </w:r>
      <w:bookmarkStart w:id="2" w:name="OLE_LINK1"/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（送审稿）</w:t>
      </w:r>
      <w:bookmarkEnd w:id="2"/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共七章33条，主要内容包括三方面。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一是明确了配置职责划分，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主要分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市财政局、市机关事务管理局、主管部门和单位。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二是明确了资产配置方式，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主要包括调剂、租用、购置、建设、接受捐赠等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；强调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单位配置资产，应当优先通过政府公物仓等调剂解决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三是明确了配置预算程序，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包括申报、审核、批复三个环节；强调资产管理与预算管理相结合。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《使用管理办法（送审稿）》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共七章52条，主要内容包括三方面。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一是调整了出租出借审批权限，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赋予主管部门部分审批权限（</w:t>
      </w:r>
      <w:bookmarkStart w:id="3" w:name="OLE_LINK22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原值在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万元及以下且期限在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6个月及以下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的资产出租、原值在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万元及以下的资产出借</w:t>
      </w:r>
      <w:bookmarkEnd w:id="3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二是规定了科技成果使用，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强调科研院所的自主性。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三是明确了资产使用方式，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主要包括自用、出租出借和对外投资。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《处置管理办法（送审稿）》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共六章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条，主要内容包括三方面。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一是调整了处置审批权限。</w:t>
      </w:r>
      <w:bookmarkStart w:id="4" w:name="OLE_LINK23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主管部门、市财政局审批权限分别为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单位原值在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及以下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或批量原值在50万元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以下的资产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处置、</w:t>
      </w:r>
      <w:bookmarkStart w:id="5" w:name="OLE_LINK24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位原值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万元以上或批量原值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万元以上的资产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处置</w:t>
      </w:r>
      <w:bookmarkEnd w:id="5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原值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以上的资产处置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报市政府审批。</w:t>
      </w:r>
      <w:bookmarkEnd w:id="4"/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二是明确了资产处置类型，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主要包</w:t>
      </w:r>
      <w:bookmarkStart w:id="6" w:name="OLE_LINK8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括无偿划转、对外捐赠、转让、置换、报废、损失核销等。</w:t>
      </w:r>
      <w:bookmarkEnd w:id="6"/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三是规定了特殊处置情形，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包括科技成果转让、突发公共卫生事件等应急情况下的资产处置，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强调单位的自主性、灵活性。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g5ZmZjYTNjYjY3N2RjM2IzNTJjYmMzN2E2ODMifQ=="/>
  </w:docVars>
  <w:rsids>
    <w:rsidRoot w:val="5A512572"/>
    <w:rsid w:val="01016824"/>
    <w:rsid w:val="5A512572"/>
    <w:rsid w:val="61B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widowControl w:val="0"/>
      <w:spacing w:before="240" w:after="60"/>
      <w:jc w:val="both"/>
      <w:outlineLvl w:val="2"/>
    </w:pPr>
    <w:rPr>
      <w:rFonts w:ascii="Cambria" w:hAnsi="Cambria" w:eastAsia="宋体" w:cs="Times New Roman"/>
      <w:b/>
      <w:bCs/>
      <w:kern w:val="2"/>
      <w:sz w:val="26"/>
      <w:szCs w:val="2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943</Words>
  <Characters>959</Characters>
  <Lines>0</Lines>
  <Paragraphs>0</Paragraphs>
  <TotalTime>0</TotalTime>
  <ScaleCrop>false</ScaleCrop>
  <LinksUpToDate>false</LinksUpToDate>
  <CharactersWithSpaces>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2025-08-11T07:15:00Z</dcterms:created>
  <dc:creator>赵玉玉</dc:creator>
  <cp:lastModifiedBy>赵玉玉</cp:lastModifiedBy>
  <dcterms:modified xsi:type="dcterms:W3CDTF">2025-08-12T02:52:48Z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8513D8D300A8400FB6DF5E2DE63E92C0_11</vt:lpwstr>
  </property>
</Properties>
</file>